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版本号：YC26307004(CGQ)20260423002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汉中市勉县武侯墓景区标识标牌项目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YC26307004(CGQ)</w:t>
      </w:r>
      <w:r>
        <w:br/>
      </w:r>
      <w:r>
        <w:br/>
      </w:r>
      <w:r>
        <w:br/>
      </w:r>
    </w:p>
    <w:p>
      <w:pPr>
        <w:pStyle w:val="null3"/>
        <w:jc w:val="center"/>
        <w:outlineLvl w:val="2"/>
      </w:pPr>
      <w:r>
        <w:rPr>
          <w:rFonts w:ascii="仿宋_GB2312" w:hAnsi="仿宋_GB2312" w:cs="仿宋_GB2312" w:eastAsia="仿宋_GB2312"/>
          <w:sz w:val="28"/>
          <w:b/>
        </w:rPr>
        <w:t>勉县武侯墓博物馆</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勉县武侯墓博物馆</w:t>
      </w:r>
      <w:r>
        <w:rPr>
          <w:rFonts w:ascii="仿宋_GB2312" w:hAnsi="仿宋_GB2312" w:cs="仿宋_GB2312" w:eastAsia="仿宋_GB2312"/>
        </w:rPr>
        <w:t>委托，拟对</w:t>
      </w:r>
      <w:r>
        <w:rPr>
          <w:rFonts w:ascii="仿宋_GB2312" w:hAnsi="仿宋_GB2312" w:cs="仿宋_GB2312" w:eastAsia="仿宋_GB2312"/>
        </w:rPr>
        <w:t>汉中市勉县武侯墓景区标识标牌项目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YC26307004(CGQ)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汉中市勉县武侯墓景区标识标牌项目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规范标识标牌、布设导览图，实现游览路线清晰指引、景点信息精准传递，统一景区文化视觉形象；通过票务系统升级，提升入园核验效率与智慧管理水平；通过电子导览图建设，整体优化游客体验、提升景区运营服务品质，助力景区规范化、智慧化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采购包1（汉中市勉县武侯墓景区标识标牌项目）：属于专门面向中小企业采购。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w:t>
      </w:r>
    </w:p>
    <w:p>
      <w:pPr>
        <w:pStyle w:val="null3"/>
      </w:pPr>
      <w:r>
        <w:rPr>
          <w:rFonts w:ascii="仿宋_GB2312" w:hAnsi="仿宋_GB2312" w:cs="仿宋_GB2312" w:eastAsia="仿宋_GB2312"/>
        </w:rPr>
        <w:t>4、联合体响应及分包：本项目不接受联合体响应，不允许分包。供应商应提供《非联合体不分包投标声明》，视为独立投标，不分包。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勉县武侯墓博物馆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勉县定军山镇诸葛村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马佳琛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18710442108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陕西省汉中市汉台区西新街仁和春天11号楼2单元23层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折红、屈小军、李楠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15091619770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代理服务费收费标准：1、收费标准：招标代理服务费依据中标价×1.5%，不足3000元按3000元收取，由成交供应商在领取中标通知书之前，向采购代理机构一次支付全额招标代理服务费。 2、汇款账号： 开户行名称：亿诚建设项目管理有限公司 开 户 行：长安银行股份有限公司汉中分行营业部 账 号：806060001421004558 联系方式：0916-8118869 备注：供应商在汇款（招标代理服务费）时须注明项目编号+项目简称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勉县武侯墓博物馆</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勉县武侯墓博物馆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勉县武侯墓博物馆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依据磋商文件要求和响应文件内容验收。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联系人：折红</w:t>
      </w:r>
    </w:p>
    <w:p>
      <w:pPr>
        <w:pStyle w:val="null3"/>
      </w:pPr>
      <w:r>
        <w:rPr>
          <w:rFonts w:ascii="仿宋_GB2312" w:hAnsi="仿宋_GB2312" w:cs="仿宋_GB2312" w:eastAsia="仿宋_GB2312"/>
        </w:rPr>
        <w:t>联系电话：0916-8118869</w:t>
      </w:r>
    </w:p>
    <w:p>
      <w:pPr>
        <w:pStyle w:val="null3"/>
      </w:pPr>
      <w:r>
        <w:rPr>
          <w:rFonts w:ascii="仿宋_GB2312" w:hAnsi="仿宋_GB2312" w:cs="仿宋_GB2312" w:eastAsia="仿宋_GB2312"/>
        </w:rPr>
        <w:t>地址：汉中市汉台区西新街仁和春天11号楼2单元23层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规范标识标牌、布设导览图，实现游览路线清晰指引、景点信息精准传递，统一景区文化视觉形象；通过票务系统升级，提升入园核验效率与智慧管理水平；通过电子导览图建设，整体优化游客体验、提升景区运营服务品质，助力景区规范化、智慧化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汉中市勉县武侯墓景区标识标牌项目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标的名称：汉中市勉县武侯墓景区标识标牌项目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b/>
                <w:color w:val="000000"/>
              </w:rPr>
              <w:t>一、勉县武侯墓博物馆标识标牌项目建设工程</w:t>
            </w:r>
          </w:p>
          <w:p>
            <w:pPr>
              <w:pStyle w:val="null3"/>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234"/>
              <w:gridCol w:w="511"/>
              <w:gridCol w:w="2533"/>
              <w:gridCol w:w="231"/>
              <w:gridCol w:w="310"/>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53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材质规格</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全景导览图</w:t>
                  </w:r>
                </w:p>
                <w:p>
                  <w:pPr>
                    <w:pStyle w:val="null3"/>
                    <w:jc w:val="center"/>
                  </w:pPr>
                </w:p>
              </w:tc>
              <w:tc>
                <w:tcPr>
                  <w:tcW w:type="dxa" w:w="253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飞檐造型材质：</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不锈钢板折弯雕刻焊接；</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文字内容：</w:t>
                  </w:r>
                  <w:r>
                    <w:rPr>
                      <w:rFonts w:ascii="仿宋_GB2312" w:hAnsi="仿宋_GB2312" w:cs="仿宋_GB2312" w:eastAsia="仿宋_GB2312"/>
                      <w:sz w:val="21"/>
                      <w:color w:val="000000"/>
                    </w:rPr>
                    <w:t>1景区形象标/主标造型文字，立体字底层1.5mm</w:t>
                  </w: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不锈钢板折弯雕刻</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60mm壁厚〉1.5mm方管打底焊接+烤漆+UV印制，立体字面层20mmPVC+烤漆；</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景区全景导览图</w:t>
                  </w:r>
                  <w:r>
                    <w:rPr>
                      <w:rFonts w:ascii="仿宋_GB2312" w:hAnsi="仿宋_GB2312" w:cs="仿宋_GB2312" w:eastAsia="仿宋_GB2312"/>
                      <w:sz w:val="21"/>
                      <w:color w:val="000000"/>
                    </w:rPr>
                    <w:t>/导视牌 1.5mm</w:t>
                  </w: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不锈钢板折弯雕刻</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60mm壁厚</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1.5mm方管做撑+焊接+烤漆+UV印制；</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立柱镀锌方钢壁厚</w:t>
                  </w:r>
                  <w:r>
                    <w:rPr>
                      <w:rFonts w:ascii="仿宋_GB2312" w:hAnsi="仿宋_GB2312" w:cs="仿宋_GB2312" w:eastAsia="仿宋_GB2312"/>
                      <w:sz w:val="21"/>
                      <w:color w:val="000000"/>
                    </w:rPr>
                    <w:t>≥</w:t>
                  </w:r>
                  <w:r>
                    <w:rPr>
                      <w:rFonts w:ascii="仿宋_GB2312" w:hAnsi="仿宋_GB2312" w:cs="仿宋_GB2312" w:eastAsia="仿宋_GB2312"/>
                      <w:sz w:val="21"/>
                      <w:color w:val="000000"/>
                    </w:rPr>
                    <w:t>2mm，焊接+打磨+喷底漆+面漆+汽车烤漆+文字20mmpvc烤漆，</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预埋方式，人工挖掘地面深度不低于</w:t>
                  </w:r>
                  <w:r>
                    <w:rPr>
                      <w:rFonts w:ascii="仿宋_GB2312" w:hAnsi="仿宋_GB2312" w:cs="仿宋_GB2312" w:eastAsia="仿宋_GB2312"/>
                      <w:sz w:val="21"/>
                      <w:color w:val="000000"/>
                    </w:rPr>
                    <w:t>1000mm，立柱与钢筋网焊接后进行c25混凝土浇筑预埋。</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米</w:t>
                  </w:r>
                  <w:r>
                    <w:rPr>
                      <w:rFonts w:ascii="仿宋_GB2312" w:hAnsi="仿宋_GB2312" w:cs="仿宋_GB2312" w:eastAsia="仿宋_GB2312"/>
                      <w:sz w:val="21"/>
                    </w:rPr>
                    <w:t>高道路指示牌</w:t>
                  </w:r>
                </w:p>
                <w:p>
                  <w:pPr>
                    <w:pStyle w:val="null3"/>
                    <w:jc w:val="center"/>
                  </w:pPr>
                </w:p>
              </w:tc>
              <w:tc>
                <w:tcPr>
                  <w:tcW w:type="dxa" w:w="2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1、飞檐造型材质:1mm镀锌板折弯雕刻焊接；</w:t>
                  </w:r>
                  <w:r>
                    <w:br/>
                  </w:r>
                  <w:r>
                    <w:rPr>
                      <w:rFonts w:ascii="仿宋_GB2312" w:hAnsi="仿宋_GB2312" w:cs="仿宋_GB2312" w:eastAsia="仿宋_GB2312"/>
                      <w:sz w:val="21"/>
                      <w:color w:val="000000"/>
                    </w:rPr>
                    <w:t>2、文字内容:①景区形象标/主标造型文字</w:t>
                  </w:r>
                  <w:r>
                    <w:rPr>
                      <w:rFonts w:ascii="仿宋_GB2312" w:hAnsi="仿宋_GB2312" w:cs="仿宋_GB2312" w:eastAsia="仿宋_GB2312"/>
                      <w:sz w:val="21"/>
                      <w:color w:val="000000"/>
                    </w:rPr>
                    <w:t>、</w:t>
                  </w:r>
                  <w:r>
                    <w:rPr>
                      <w:rFonts w:ascii="仿宋_GB2312" w:hAnsi="仿宋_GB2312" w:cs="仿宋_GB2312" w:eastAsia="仿宋_GB2312"/>
                      <w:sz w:val="21"/>
                      <w:color w:val="000000"/>
                    </w:rPr>
                    <w:t>立体字底层</w:t>
                  </w:r>
                  <w:r>
                    <w:rPr>
                      <w:rFonts w:ascii="仿宋_GB2312" w:hAnsi="仿宋_GB2312" w:cs="仿宋_GB2312" w:eastAsia="仿宋_GB2312"/>
                      <w:sz w:val="21"/>
                      <w:color w:val="000000"/>
                    </w:rPr>
                    <w:t>1mm镀锌板折弯雕刻+40×60mm壁厚≥1.5mm方管打底焊接+烤漆+UV印制，立体字面层20mmPVC+烤漆；</w:t>
                  </w:r>
                  <w:r>
                    <w:br/>
                  </w:r>
                  <w:r>
                    <w:rPr>
                      <w:rFonts w:ascii="仿宋_GB2312" w:hAnsi="仿宋_GB2312" w:cs="仿宋_GB2312" w:eastAsia="仿宋_GB2312"/>
                      <w:sz w:val="21"/>
                      <w:color w:val="000000"/>
                    </w:rPr>
                    <w:t>②多向导向标识牌（分示牌）1mm镀锌板折弯雕刻40×60mm壁厚≥1.5mm方管做內撑+焊接+烤漆+UV印制；</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③景区全景导览图/导视牌 1mm镀锌板折弯雕刻40×60mm壁厚≥1.5mm方管做內撑+焊接+烤漆+UV印制；</w:t>
                  </w:r>
                  <w:r>
                    <w:br/>
                  </w:r>
                  <w:r>
                    <w:rPr>
                      <w:rFonts w:ascii="仿宋_GB2312" w:hAnsi="仿宋_GB2312" w:cs="仿宋_GB2312" w:eastAsia="仿宋_GB2312"/>
                      <w:sz w:val="21"/>
                      <w:color w:val="000000"/>
                    </w:rPr>
                    <w:t>3、立柱镀锌方钢壁厚≥2mm</w:t>
                  </w:r>
                  <w:r>
                    <w:rPr>
                      <w:rFonts w:ascii="仿宋_GB2312" w:hAnsi="仿宋_GB2312" w:cs="仿宋_GB2312" w:eastAsia="仿宋_GB2312"/>
                      <w:sz w:val="21"/>
                      <w:color w:val="000000"/>
                    </w:rPr>
                    <w:t>、</w:t>
                  </w:r>
                  <w:r>
                    <w:rPr>
                      <w:rFonts w:ascii="仿宋_GB2312" w:hAnsi="仿宋_GB2312" w:cs="仿宋_GB2312" w:eastAsia="仿宋_GB2312"/>
                      <w:sz w:val="21"/>
                      <w:color w:val="000000"/>
                    </w:rPr>
                    <w:t>焊接</w:t>
                  </w:r>
                  <w:r>
                    <w:rPr>
                      <w:rFonts w:ascii="仿宋_GB2312" w:hAnsi="仿宋_GB2312" w:cs="仿宋_GB2312" w:eastAsia="仿宋_GB2312"/>
                      <w:sz w:val="21"/>
                      <w:color w:val="000000"/>
                    </w:rPr>
                    <w:t>+打磨+喷底漆+面漆+汽车烤漆+文字20mmpvc烤漆，</w:t>
                  </w:r>
                  <w:r>
                    <w:br/>
                  </w:r>
                  <w:r>
                    <w:rPr>
                      <w:rFonts w:ascii="仿宋_GB2312" w:hAnsi="仿宋_GB2312" w:cs="仿宋_GB2312" w:eastAsia="仿宋_GB2312"/>
                      <w:sz w:val="21"/>
                      <w:color w:val="000000"/>
                    </w:rPr>
                    <w:t>预埋方式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人工挖掘地面深度不低于</w:t>
                  </w:r>
                  <w:r>
                    <w:rPr>
                      <w:rFonts w:ascii="仿宋_GB2312" w:hAnsi="仿宋_GB2312" w:cs="仿宋_GB2312" w:eastAsia="仿宋_GB2312"/>
                      <w:sz w:val="21"/>
                      <w:color w:val="000000"/>
                    </w:rPr>
                    <w:t>1000mm，立柱与钢筋网焊接后进行C25混凝土浇筑预埋。</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r>
                    <w:rPr>
                      <w:rFonts w:ascii="仿宋_GB2312" w:hAnsi="仿宋_GB2312" w:cs="仿宋_GB2312" w:eastAsia="仿宋_GB2312"/>
                      <w:sz w:val="21"/>
                    </w:rPr>
                    <w:t>米</w:t>
                  </w:r>
                  <w:r>
                    <w:rPr>
                      <w:rFonts w:ascii="仿宋_GB2312" w:hAnsi="仿宋_GB2312" w:cs="仿宋_GB2312" w:eastAsia="仿宋_GB2312"/>
                      <w:sz w:val="21"/>
                    </w:rPr>
                    <w:t>高道路指示牌</w:t>
                  </w:r>
                </w:p>
                <w:p>
                  <w:pPr>
                    <w:pStyle w:val="null3"/>
                    <w:jc w:val="center"/>
                  </w:pP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1、飞檐造型材质:1mm镀锌板折弯雕刻焊接；</w:t>
                  </w:r>
                  <w:r>
                    <w:br/>
                  </w:r>
                  <w:r>
                    <w:rPr>
                      <w:rFonts w:ascii="仿宋_GB2312" w:hAnsi="仿宋_GB2312" w:cs="仿宋_GB2312" w:eastAsia="仿宋_GB2312"/>
                      <w:sz w:val="21"/>
                      <w:color w:val="000000"/>
                    </w:rPr>
                    <w:t>2、文字内容:</w:t>
                  </w:r>
                  <w:r>
                    <w:rPr>
                      <w:rFonts w:ascii="仿宋_GB2312" w:hAnsi="仿宋_GB2312" w:cs="仿宋_GB2312" w:eastAsia="仿宋_GB2312"/>
                      <w:sz w:val="21"/>
                      <w:color w:val="000000"/>
                    </w:rPr>
                    <w:t>①</w:t>
                  </w:r>
                  <w:r>
                    <w:rPr>
                      <w:rFonts w:ascii="仿宋_GB2312" w:hAnsi="仿宋_GB2312" w:cs="仿宋_GB2312" w:eastAsia="仿宋_GB2312"/>
                      <w:sz w:val="21"/>
                      <w:color w:val="000000"/>
                    </w:rPr>
                    <w:t>景区形象标</w:t>
                  </w:r>
                  <w:r>
                    <w:rPr>
                      <w:rFonts w:ascii="仿宋_GB2312" w:hAnsi="仿宋_GB2312" w:cs="仿宋_GB2312" w:eastAsia="仿宋_GB2312"/>
                      <w:sz w:val="21"/>
                      <w:color w:val="000000"/>
                    </w:rPr>
                    <w:t xml:space="preserve">/主标造型文字、立体字底层1mm镀锌板折弯雕刻+40×60mm壁厚≥1.5mm方管打底焊接+烤漆+UV印制， 立体字面层20mmPVC+烤漆； </w:t>
                  </w:r>
                  <w:r>
                    <w:br/>
                  </w:r>
                  <w:r>
                    <w:rPr>
                      <w:rFonts w:ascii="仿宋_GB2312" w:hAnsi="仿宋_GB2312" w:cs="仿宋_GB2312" w:eastAsia="仿宋_GB2312"/>
                      <w:sz w:val="21"/>
                      <w:color w:val="000000"/>
                    </w:rPr>
                    <w:t>②</w:t>
                  </w:r>
                  <w:r>
                    <w:rPr>
                      <w:rFonts w:ascii="仿宋_GB2312" w:hAnsi="仿宋_GB2312" w:cs="仿宋_GB2312" w:eastAsia="仿宋_GB2312"/>
                      <w:sz w:val="21"/>
                      <w:color w:val="000000"/>
                    </w:rPr>
                    <w:t>多向导向标识牌（分示牌）</w:t>
                  </w:r>
                  <w:r>
                    <w:rPr>
                      <w:rFonts w:ascii="仿宋_GB2312" w:hAnsi="仿宋_GB2312" w:cs="仿宋_GB2312" w:eastAsia="仿宋_GB2312"/>
                      <w:sz w:val="21"/>
                      <w:color w:val="000000"/>
                    </w:rPr>
                    <w:t>1mm镀锌板折弯雕刻40×60mm壁厚≥1.5mm方管做內撑+焊接+烤漆+UV印制；</w:t>
                  </w:r>
                  <w:r>
                    <w:br/>
                  </w:r>
                  <w:r>
                    <w:rPr>
                      <w:rFonts w:ascii="仿宋_GB2312" w:hAnsi="仿宋_GB2312" w:cs="仿宋_GB2312" w:eastAsia="仿宋_GB2312"/>
                      <w:sz w:val="21"/>
                    </w:rPr>
                    <w:t xml:space="preserve">  </w:t>
                  </w:r>
                  <w:r>
                    <w:rPr>
                      <w:rFonts w:ascii="仿宋_GB2312" w:hAnsi="仿宋_GB2312" w:cs="仿宋_GB2312" w:eastAsia="仿宋_GB2312"/>
                      <w:sz w:val="21"/>
                      <w:color w:val="000000"/>
                    </w:rPr>
                    <w:t>③</w:t>
                  </w:r>
                  <w:r>
                    <w:rPr>
                      <w:rFonts w:ascii="仿宋_GB2312" w:hAnsi="仿宋_GB2312" w:cs="仿宋_GB2312" w:eastAsia="仿宋_GB2312"/>
                      <w:sz w:val="21"/>
                      <w:color w:val="000000"/>
                    </w:rPr>
                    <w:t>景区全景导览图</w:t>
                  </w:r>
                  <w:r>
                    <w:rPr>
                      <w:rFonts w:ascii="仿宋_GB2312" w:hAnsi="仿宋_GB2312" w:cs="仿宋_GB2312" w:eastAsia="仿宋_GB2312"/>
                      <w:sz w:val="21"/>
                      <w:color w:val="000000"/>
                    </w:rPr>
                    <w:t>/导视牌 1mm镀锌板折弯雕刻40×60mm壁厚≥1.5mm方管做內撑+焊接+烤漆+UV印制；</w:t>
                  </w:r>
                  <w:r>
                    <w:br/>
                  </w:r>
                  <w:r>
                    <w:rPr>
                      <w:rFonts w:ascii="仿宋_GB2312" w:hAnsi="仿宋_GB2312" w:cs="仿宋_GB2312" w:eastAsia="仿宋_GB2312"/>
                      <w:sz w:val="21"/>
                      <w:color w:val="000000"/>
                    </w:rPr>
                    <w:t>3、立柱镀锌方钢壁厚≥2mm、焊接+打磨+喷底漆+面漆+汽车烤漆+文字20mmpvc烤漆，</w:t>
                  </w:r>
                  <w:r>
                    <w:br/>
                  </w:r>
                  <w:r>
                    <w:rPr>
                      <w:rFonts w:ascii="仿宋_GB2312" w:hAnsi="仿宋_GB2312" w:cs="仿宋_GB2312" w:eastAsia="仿宋_GB2312"/>
                      <w:sz w:val="21"/>
                      <w:color w:val="000000"/>
                    </w:rPr>
                    <w:t>预埋方式、人工挖掘地面深度不低于</w:t>
                  </w:r>
                  <w:r>
                    <w:rPr>
                      <w:rFonts w:ascii="仿宋_GB2312" w:hAnsi="仿宋_GB2312" w:cs="仿宋_GB2312" w:eastAsia="仿宋_GB2312"/>
                      <w:sz w:val="21"/>
                      <w:color w:val="000000"/>
                    </w:rPr>
                    <w:t>1000mm，立柱与钢筋网焊接后进行C25混凝土浇筑预埋。</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出口指引牌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pvc板，厚度17mm</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卫生间指引牌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卫生间标识牌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景区语音导览牌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景区运营时间牌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诸葛亮展厅指示牌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卫生间指引牌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入口指引牌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出口指引牌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医务室标识牌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母婴室标识牌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应急出口指引牌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请勿携带宠物警示牌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请勿吸烟警示牌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严禁攀爬刻画警示牌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无障碍通道指引牌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请勿喧哗警示牌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请勿拍照警示牌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爱护文物警示牌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饮用水标识牌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展厅标识牌</w:t>
                  </w:r>
                  <w:r>
                    <w:rPr>
                      <w:rFonts w:ascii="仿宋_GB2312" w:hAnsi="仿宋_GB2312" w:cs="仿宋_GB2312" w:eastAsia="仿宋_GB2312"/>
                      <w:sz w:val="21"/>
                      <w:color w:val="000000"/>
                    </w:rPr>
                    <w:t>A</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r>
                    <w:rPr>
                      <w:rFonts w:ascii="仿宋_GB2312" w:hAnsi="仿宋_GB2312" w:cs="仿宋_GB2312" w:eastAsia="仿宋_GB2312"/>
                      <w:sz w:val="21"/>
                      <w:color w:val="000000"/>
                    </w:rPr>
                    <w:t>×</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展厅标识牌</w:t>
                  </w:r>
                  <w:r>
                    <w:rPr>
                      <w:rFonts w:ascii="仿宋_GB2312" w:hAnsi="仿宋_GB2312" w:cs="仿宋_GB2312" w:eastAsia="仿宋_GB2312"/>
                      <w:sz w:val="21"/>
                      <w:color w:val="000000"/>
                    </w:rPr>
                    <w:t>B</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w:t>
                  </w:r>
                  <w:r>
                    <w:rPr>
                      <w:rFonts w:ascii="仿宋_GB2312" w:hAnsi="仿宋_GB2312" w:cs="仿宋_GB2312" w:eastAsia="仿宋_GB2312"/>
                      <w:sz w:val="21"/>
                      <w:color w:val="000000"/>
                    </w:rPr>
                    <w:t>304不锈钢</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1mm，折弯（20mm）焊接+17mmpvc做內撑</w:t>
                  </w:r>
                  <w:r>
                    <w:br/>
                  </w:r>
                  <w:r>
                    <w:rPr>
                      <w:rFonts w:ascii="仿宋_GB2312" w:hAnsi="仿宋_GB2312" w:cs="仿宋_GB2312" w:eastAsia="仿宋_GB2312"/>
                      <w:sz w:val="21"/>
                      <w:color w:val="000000"/>
                    </w:rPr>
                    <w:t>2、字内容:烤漆+UV印制，安装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胶粘固定。</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危险请勿靠近警示牌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1、造型材质:1mm镀锌板，折弯雕刻+30×30mm壁厚≥1.5mm方管打底焊接+烤漆</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2、文字内容:标语标识牌1mm镀锌板雕刻+烤漆+UV印制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3、立柱镀锌方钢壁厚≥2mm</w:t>
                  </w:r>
                  <w:r>
                    <w:rPr>
                      <w:rFonts w:ascii="仿宋_GB2312" w:hAnsi="仿宋_GB2312" w:cs="仿宋_GB2312" w:eastAsia="仿宋_GB2312"/>
                      <w:sz w:val="21"/>
                      <w:color w:val="000000"/>
                    </w:rPr>
                    <w:t>、</w:t>
                  </w:r>
                  <w:r>
                    <w:rPr>
                      <w:rFonts w:ascii="仿宋_GB2312" w:hAnsi="仿宋_GB2312" w:cs="仿宋_GB2312" w:eastAsia="仿宋_GB2312"/>
                      <w:sz w:val="21"/>
                      <w:color w:val="000000"/>
                    </w:rPr>
                    <w:t>焊接</w:t>
                  </w:r>
                  <w:r>
                    <w:rPr>
                      <w:rFonts w:ascii="仿宋_GB2312" w:hAnsi="仿宋_GB2312" w:cs="仿宋_GB2312" w:eastAsia="仿宋_GB2312"/>
                      <w:sz w:val="21"/>
                      <w:color w:val="000000"/>
                    </w:rPr>
                    <w:t>+打磨+喷底漆+面漆+汽车烤漆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4、预埋方式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人工挖掘地面深度不低于</w:t>
                  </w:r>
                  <w:r>
                    <w:rPr>
                      <w:rFonts w:ascii="仿宋_GB2312" w:hAnsi="仿宋_GB2312" w:cs="仿宋_GB2312" w:eastAsia="仿宋_GB2312"/>
                      <w:sz w:val="21"/>
                      <w:color w:val="000000"/>
                    </w:rPr>
                    <w:t>500mm，进行C25混凝土浇筑成型</w:t>
                  </w:r>
                  <w:r>
                    <w:rPr>
                      <w:rFonts w:ascii="仿宋_GB2312" w:hAnsi="仿宋_GB2312" w:cs="仿宋_GB2312" w:eastAsia="仿宋_GB2312"/>
                      <w:sz w:val="21"/>
                      <w:color w:val="000000"/>
                    </w:rPr>
                    <w:t>。</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垃圾不乱扔警示牌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1、造型材质:1mm镀锌板，折弯雕刻+30×30mm壁厚≥1.5mm方管打底焊接+烤漆</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2、文字内容:标语标识牌1mm镀锌板雕刻+烤漆+UV印制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3、立柱镀锌方钢壁厚≥2mm</w:t>
                  </w:r>
                  <w:r>
                    <w:rPr>
                      <w:rFonts w:ascii="仿宋_GB2312" w:hAnsi="仿宋_GB2312" w:cs="仿宋_GB2312" w:eastAsia="仿宋_GB2312"/>
                      <w:sz w:val="21"/>
                      <w:color w:val="000000"/>
                    </w:rPr>
                    <w:t>、</w:t>
                  </w:r>
                  <w:r>
                    <w:rPr>
                      <w:rFonts w:ascii="仿宋_GB2312" w:hAnsi="仿宋_GB2312" w:cs="仿宋_GB2312" w:eastAsia="仿宋_GB2312"/>
                      <w:sz w:val="21"/>
                      <w:color w:val="000000"/>
                    </w:rPr>
                    <w:t>焊接</w:t>
                  </w:r>
                  <w:r>
                    <w:rPr>
                      <w:rFonts w:ascii="仿宋_GB2312" w:hAnsi="仿宋_GB2312" w:cs="仿宋_GB2312" w:eastAsia="仿宋_GB2312"/>
                      <w:sz w:val="21"/>
                      <w:color w:val="000000"/>
                    </w:rPr>
                    <w:t>+打磨+喷底漆+面漆+汽车烤漆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4、预埋方式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人工挖掘地面深度不低于</w:t>
                  </w:r>
                  <w:r>
                    <w:rPr>
                      <w:rFonts w:ascii="仿宋_GB2312" w:hAnsi="仿宋_GB2312" w:cs="仿宋_GB2312" w:eastAsia="仿宋_GB2312"/>
                      <w:sz w:val="21"/>
                      <w:color w:val="000000"/>
                    </w:rPr>
                    <w:t>500mm，进行C25混凝土浇筑成型</w:t>
                  </w:r>
                  <w:r>
                    <w:rPr>
                      <w:rFonts w:ascii="仿宋_GB2312" w:hAnsi="仿宋_GB2312" w:cs="仿宋_GB2312" w:eastAsia="仿宋_GB2312"/>
                      <w:sz w:val="21"/>
                      <w:color w:val="000000"/>
                    </w:rPr>
                    <w:t>。</w:t>
                  </w:r>
                </w:p>
              </w:tc>
              <w:tc>
                <w:tcPr>
                  <w:tcW w:type="dxa" w:w="2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文明观景标语牌</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1、造型材质:1mm镀锌板，折弯雕刻+30×30mm壁厚≥1.5mm方管打底焊接+烤漆</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2、文字内容:标语标识牌1mm镀锌板雕刻+烤漆+UV印制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3、立柱镀锌方钢壁厚≥2mm</w:t>
                  </w:r>
                  <w:r>
                    <w:rPr>
                      <w:rFonts w:ascii="仿宋_GB2312" w:hAnsi="仿宋_GB2312" w:cs="仿宋_GB2312" w:eastAsia="仿宋_GB2312"/>
                      <w:sz w:val="21"/>
                      <w:color w:val="000000"/>
                    </w:rPr>
                    <w:t>、</w:t>
                  </w:r>
                  <w:r>
                    <w:rPr>
                      <w:rFonts w:ascii="仿宋_GB2312" w:hAnsi="仿宋_GB2312" w:cs="仿宋_GB2312" w:eastAsia="仿宋_GB2312"/>
                      <w:sz w:val="21"/>
                      <w:color w:val="000000"/>
                    </w:rPr>
                    <w:t>焊接</w:t>
                  </w:r>
                  <w:r>
                    <w:rPr>
                      <w:rFonts w:ascii="仿宋_GB2312" w:hAnsi="仿宋_GB2312" w:cs="仿宋_GB2312" w:eastAsia="仿宋_GB2312"/>
                      <w:sz w:val="21"/>
                      <w:color w:val="000000"/>
                    </w:rPr>
                    <w:t>+打磨+喷底漆+面漆+汽车烤漆</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4、预埋方式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人工挖掘地面深度不低于</w:t>
                  </w:r>
                  <w:r>
                    <w:rPr>
                      <w:rFonts w:ascii="仿宋_GB2312" w:hAnsi="仿宋_GB2312" w:cs="仿宋_GB2312" w:eastAsia="仿宋_GB2312"/>
                      <w:sz w:val="21"/>
                      <w:color w:val="000000"/>
                    </w:rPr>
                    <w:t>500mm，进行C25混凝土浇筑成型</w:t>
                  </w:r>
                  <w:r>
                    <w:rPr>
                      <w:rFonts w:ascii="仿宋_GB2312" w:hAnsi="仿宋_GB2312" w:cs="仿宋_GB2312" w:eastAsia="仿宋_GB2312"/>
                      <w:sz w:val="21"/>
                      <w:color w:val="000000"/>
                    </w:rPr>
                    <w:t>。</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81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注：以上标识标牌的示例图尺寸详见附件</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br/>
            </w:r>
            <w:r>
              <w:rPr>
                <w:rFonts w:ascii="仿宋_GB2312" w:hAnsi="仿宋_GB2312" w:cs="仿宋_GB2312" w:eastAsia="仿宋_GB2312"/>
                <w:sz w:val="21"/>
                <w:b/>
                <w:color w:val="000000"/>
              </w:rPr>
              <w:t>二、武侯墓智慧景区票务管理系统软硬件模块参数要求</w:t>
            </w:r>
          </w:p>
          <w:p>
            <w:pPr>
              <w:pStyle w:val="null3"/>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189"/>
              <w:gridCol w:w="281"/>
              <w:gridCol w:w="326"/>
              <w:gridCol w:w="517"/>
              <w:gridCol w:w="2508"/>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产品分类</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一级模块</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二级模块</w:t>
                  </w:r>
                </w:p>
              </w:tc>
              <w:tc>
                <w:tcPr>
                  <w:tcW w:type="dxa" w:w="2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软件功能明细要求</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景区票务综合管理系统</w:t>
                  </w:r>
                  <w:r>
                    <w:rPr>
                      <w:rFonts w:ascii="仿宋_GB2312" w:hAnsi="仿宋_GB2312" w:cs="仿宋_GB2312" w:eastAsia="仿宋_GB2312"/>
                      <w:sz w:val="21"/>
                      <w:color w:val="000000"/>
                    </w:rPr>
                    <w:t>+总控平台</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企业管理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岗位管理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景区组织架构设置、岗位权限</w:t>
                  </w:r>
                  <w:r>
                    <w:rPr>
                      <w:rFonts w:ascii="仿宋_GB2312" w:hAnsi="仿宋_GB2312" w:cs="仿宋_GB2312" w:eastAsia="仿宋_GB2312"/>
                      <w:sz w:val="21"/>
                      <w:color w:val="000000"/>
                    </w:rPr>
                    <w:t>精细化管理</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可完成岗位新增、编辑、禁用、删除操作，可针对售票员、检票员、财务、管理员等不同岗位配置差异化菜单权限、数据权限、操作权限</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员工管理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员工账号创建、密码修改、岗位授权、账号</w:t>
                  </w:r>
                  <w:r>
                    <w:rPr>
                      <w:rFonts w:ascii="仿宋_GB2312" w:hAnsi="仿宋_GB2312" w:cs="仿宋_GB2312" w:eastAsia="仿宋_GB2312"/>
                      <w:sz w:val="21"/>
                      <w:color w:val="000000"/>
                    </w:rPr>
                    <w:t>启用</w:t>
                  </w:r>
                  <w:r>
                    <w:rPr>
                      <w:rFonts w:ascii="仿宋_GB2312" w:hAnsi="仿宋_GB2312" w:cs="仿宋_GB2312" w:eastAsia="仿宋_GB2312"/>
                      <w:sz w:val="21"/>
                      <w:color w:val="000000"/>
                    </w:rPr>
                    <w:t>/</w:t>
                  </w:r>
                  <w:r>
                    <w:rPr>
                      <w:rFonts w:ascii="仿宋_GB2312" w:hAnsi="仿宋_GB2312" w:cs="仿宋_GB2312" w:eastAsia="仿宋_GB2312"/>
                      <w:sz w:val="21"/>
                      <w:color w:val="000000"/>
                    </w:rPr>
                    <w:t>禁用等操作</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员工通行</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工作人员工牌二维码设置、员工人脸识别录入、员工通行权限设置、员工通行记录报表</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景区管理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票务站点</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对景区内售、检票点位进行权限设置，可售产品授权、可检产品授权、可取产品授权，员工登录授权设置、硬件权限设置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增加站点、禁用站点、删除站点等功能操作。</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景区信息管理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景区的相关介绍进行描述展示，营业时间，景区地址，景区名称，经纬坐标导航，最大承载量，服务电话，支持服务，景区介绍（文本形式）图片加文字</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硬件设备管理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针对景区内售检票硬件设备进行标识号绑定设置列</w:t>
                  </w:r>
                  <w:r>
                    <w:rPr>
                      <w:rFonts w:ascii="仿宋_GB2312" w:hAnsi="仿宋_GB2312" w:cs="仿宋_GB2312" w:eastAsia="仿宋_GB2312"/>
                      <w:sz w:val="21"/>
                      <w:color w:val="000000"/>
                    </w:rPr>
                    <w:t>，</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pc设备、手持设备、门禁闸机、人脸识别设备、自助终端设备）绑定硬件设备后可与系统连接。</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系统设置</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闸机设置</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支持检票人脸照片补录规则设置（配合人脸识别设备使用）、同人人脸识别过闸间隔时间设置、检票语音播报规则设置、闸机开闸</w:t>
                  </w:r>
                  <w:r>
                    <w:rPr>
                      <w:rFonts w:ascii="仿宋_GB2312" w:hAnsi="仿宋_GB2312" w:cs="仿宋_GB2312" w:eastAsia="仿宋_GB2312"/>
                      <w:sz w:val="21"/>
                      <w:color w:val="000000"/>
                    </w:rPr>
                    <w:t>/ 关闸参数配置，支持一人一票、一票多人、团队通行等检票规则配置</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短信通知</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短信模板设置</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可实现</w:t>
                  </w:r>
                  <w:r>
                    <w:rPr>
                      <w:rFonts w:ascii="仿宋_GB2312" w:hAnsi="仿宋_GB2312" w:cs="仿宋_GB2312" w:eastAsia="仿宋_GB2312"/>
                      <w:sz w:val="21"/>
                      <w:color w:val="000000"/>
                    </w:rPr>
                    <w:t>预订成功、退票成功、核销成功等</w:t>
                  </w:r>
                  <w:r>
                    <w:rPr>
                      <w:rFonts w:ascii="仿宋_GB2312" w:hAnsi="仿宋_GB2312" w:cs="仿宋_GB2312" w:eastAsia="仿宋_GB2312"/>
                      <w:sz w:val="21"/>
                      <w:color w:val="000000"/>
                    </w:rPr>
                    <w:t>场景的短信自动发送</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打印模板设置</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对于门票打印、餐饮打印内容的模板设置（可设置多种模板）</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系统操作日志</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全量记录系统内员工、管理员的所有增、删、改、查操作，包含操作人、操作时间、操作内容、操作终端、</w:t>
                  </w:r>
                  <w:r>
                    <w:rPr>
                      <w:rFonts w:ascii="仿宋_GB2312" w:hAnsi="仿宋_GB2312" w:cs="仿宋_GB2312" w:eastAsia="仿宋_GB2312"/>
                      <w:sz w:val="21"/>
                      <w:color w:val="000000"/>
                    </w:rPr>
                    <w:t>IP 地址等信息，日志不可篡改、可追溯、可查询导出</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支付管理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聚合支付</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支持现金、微信、支付宝、支持扫码及退款订单金额原路返回。</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渠道管理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产品上架</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系统发布产品后，针对窗口、小程序、微信商城、自助设备、手持设备、门禁检票设备、</w:t>
                  </w:r>
                  <w:r>
                    <w:rPr>
                      <w:rFonts w:ascii="仿宋_GB2312" w:hAnsi="仿宋_GB2312" w:cs="仿宋_GB2312" w:eastAsia="仿宋_GB2312"/>
                      <w:sz w:val="21"/>
                      <w:color w:val="000000"/>
                    </w:rPr>
                    <w:t>ota分销等售票渠道进行产品上架，下架，修改</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门票业务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旅游门票</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对单个收费项目的产品发布与规则设置，支持多规格门票统一发布</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旅游套票</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对套票类型门票发布，可以支持固定项目组合，多项目交叉组合，自定义游玩项目选择消费</w:t>
                  </w:r>
                  <w:r>
                    <w:rPr>
                      <w:rFonts w:ascii="仿宋_GB2312" w:hAnsi="仿宋_GB2312" w:cs="仿宋_GB2312" w:eastAsia="仿宋_GB2312"/>
                      <w:sz w:val="21"/>
                      <w:color w:val="000000"/>
                    </w:rPr>
                    <w:t>等模式</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票种规格设置</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成人票，儿童票，老年票，接待票、本地人免费等多种票种设置</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产品分组管理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针对不同产品类型进行分组管理，授权管理</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价格日历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对单个产品设置价格日历，周末价格，工作日价格，节假日价格，到达设置的时间价格会自动变化</w:t>
                  </w:r>
                  <w:r>
                    <w:rPr>
                      <w:rFonts w:ascii="仿宋_GB2312" w:hAnsi="仿宋_GB2312" w:cs="仿宋_GB2312" w:eastAsia="仿宋_GB2312"/>
                      <w:sz w:val="21"/>
                      <w:color w:val="000000"/>
                    </w:rPr>
                    <w:t>，</w:t>
                  </w:r>
                  <w:r>
                    <w:rPr>
                      <w:rFonts w:ascii="仿宋_GB2312" w:hAnsi="仿宋_GB2312" w:cs="仿宋_GB2312" w:eastAsia="仿宋_GB2312"/>
                      <w:sz w:val="21"/>
                      <w:color w:val="000000"/>
                    </w:rPr>
                    <w:t>无需人工干预。</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手持终端管理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售票管理、检票管理</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检票终端管理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闸机授权设置、检票设置（一人一票通行、一票多人通行、团队通行、智能语音播报）</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打印终端管理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打印方式要支持合并打印、拆分打印</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数据报表</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（财务）</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订单管理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根据订单下单金额、时间、来源、渠道、产品名称、支付金额、使用时间等参数进行查询。（订单列表为单个数据展示，可导出</w:t>
                  </w:r>
                  <w:r>
                    <w:rPr>
                      <w:rFonts w:ascii="仿宋_GB2312" w:hAnsi="仿宋_GB2312" w:cs="仿宋_GB2312" w:eastAsia="仿宋_GB2312"/>
                      <w:sz w:val="21"/>
                      <w:color w:val="000000"/>
                    </w:rPr>
                    <w:t>excel表格）、退订订单查询、核销订单查询、取票订单查询、导游订单查询、年卡订单查询</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统计报表</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销售统计日报表、月报表、年度报表，针对数据来源、产品名称、支付金额、支付方式、退款金额等维度进行统计。（汇总为订单统计，可导出</w:t>
                  </w:r>
                  <w:r>
                    <w:rPr>
                      <w:rFonts w:ascii="仿宋_GB2312" w:hAnsi="仿宋_GB2312" w:cs="仿宋_GB2312" w:eastAsia="仿宋_GB2312"/>
                      <w:sz w:val="21"/>
                      <w:color w:val="000000"/>
                    </w:rPr>
                    <w:t>excel表格）</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退票统计</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支持退票操作人，退票时间，退票状态、退票金额、退票站点、非当日下单退票等数据维度进行统计</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核销统计报表</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下单时间，核销产品、核销票种、核销时间，核销设备，核销员工进行统计。</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资金概览</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日报表、月报表、年度报表，针对数据来源、支付金额、支付方式、退款金额等维度进行统计。（汇总为订单统计，可导出</w:t>
                  </w:r>
                  <w:r>
                    <w:rPr>
                      <w:rFonts w:ascii="仿宋_GB2312" w:hAnsi="仿宋_GB2312" w:cs="仿宋_GB2312" w:eastAsia="仿宋_GB2312"/>
                      <w:sz w:val="21"/>
                      <w:color w:val="000000"/>
                    </w:rPr>
                    <w:t>excel表格）</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领导手机端数据管理系统</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通过手机端实时查看统计数据报表，根据销售人员，售票数量，售票金额，售票渠道，退票数量等以图表的展现方式让景区管理人员实时了解景区运营情况</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门禁检票系统</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支持二</w:t>
                  </w:r>
                  <w:r>
                    <w:rPr>
                      <w:rFonts w:ascii="仿宋_GB2312" w:hAnsi="仿宋_GB2312" w:cs="仿宋_GB2312" w:eastAsia="仿宋_GB2312"/>
                      <w:sz w:val="21"/>
                      <w:color w:val="000000"/>
                    </w:rPr>
                    <w:t>维码纸质门票检票功能（不同检票方式需搭配相关终端设备）、</w:t>
                  </w:r>
                  <w:r>
                    <w:rPr>
                      <w:rFonts w:ascii="仿宋_GB2312" w:hAnsi="仿宋_GB2312" w:cs="仿宋_GB2312" w:eastAsia="仿宋_GB2312"/>
                      <w:sz w:val="21"/>
                      <w:color w:val="000000"/>
                    </w:rPr>
                    <w:t>人脸识别检票</w:t>
                  </w:r>
                  <w:r>
                    <w:rPr>
                      <w:rFonts w:ascii="仿宋_GB2312" w:hAnsi="仿宋_GB2312" w:cs="仿宋_GB2312" w:eastAsia="仿宋_GB2312"/>
                      <w:sz w:val="21"/>
                      <w:color w:val="000000"/>
                    </w:rPr>
                    <w:t>、检票语音播报</w:t>
                  </w:r>
                  <w:r>
                    <w:rPr>
                      <w:rFonts w:ascii="仿宋_GB2312" w:hAnsi="仿宋_GB2312" w:cs="仿宋_GB2312" w:eastAsia="仿宋_GB2312"/>
                      <w:sz w:val="21"/>
                      <w:color w:val="000000"/>
                    </w:rPr>
                    <w:t>、检票信息屏幕显示、身份证实名检、检票设备状态监控、检票日志实时记录</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手持售检票系统</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用于手持设备的专属系统，支持售票、检票，退票等功能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检票方式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支持二维码、</w:t>
                  </w:r>
                  <w:r>
                    <w:rPr>
                      <w:rFonts w:ascii="仿宋_GB2312" w:hAnsi="仿宋_GB2312" w:cs="仿宋_GB2312" w:eastAsia="仿宋_GB2312"/>
                      <w:sz w:val="21"/>
                      <w:color w:val="000000"/>
                    </w:rPr>
                    <w:t>ic卡（可选配身份证模块）</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应用场景</w:t>
                  </w:r>
                  <w:r>
                    <w:rPr>
                      <w:rFonts w:ascii="仿宋_GB2312" w:hAnsi="仿宋_GB2312" w:cs="仿宋_GB2312" w:eastAsia="仿宋_GB2312"/>
                      <w:sz w:val="21"/>
                      <w:color w:val="000000"/>
                    </w:rPr>
                    <w:t>、</w:t>
                  </w:r>
                  <w:r>
                    <w:rPr>
                      <w:rFonts w:ascii="仿宋_GB2312" w:hAnsi="仿宋_GB2312" w:cs="仿宋_GB2312" w:eastAsia="仿宋_GB2312"/>
                      <w:sz w:val="21"/>
                      <w:color w:val="000000"/>
                    </w:rPr>
                    <w:t>用于景区二次消费项目的收款，会员扣费，检票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应急售、检票</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窗口售票系统</w:t>
                  </w:r>
                  <w:r>
                    <w:rPr>
                      <w:rFonts w:ascii="仿宋_GB2312" w:hAnsi="仿宋_GB2312" w:cs="仿宋_GB2312" w:eastAsia="仿宋_GB2312"/>
                      <w:sz w:val="21"/>
                      <w:color w:val="000000"/>
                    </w:rPr>
                    <w:t xml:space="preserve">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首页功能展示</w:t>
                  </w:r>
                  <w:r>
                    <w:rPr>
                      <w:rFonts w:ascii="仿宋_GB2312" w:hAnsi="仿宋_GB2312" w:cs="仿宋_GB2312" w:eastAsia="仿宋_GB2312"/>
                      <w:sz w:val="21"/>
                      <w:color w:val="000000"/>
                    </w:rPr>
                    <w:t xml:space="preserve">      </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窗口售票首页实时展示当班销售数量汇总、销售金额汇总、退票数量汇总、退票金额汇总、充值数据汇总、提现数据汇总、现金收款汇总、扫码金额汇总、核销数据汇总，当班数据实时更新</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购票模块</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支持普通门票、套票、多规格票种的窗口售票，支持散客购票、团队购票、旅行社购票，支持实名信息录入、人脸信息绑定，支持多种支付方式</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实名购票</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针对不同产品进行实名购票，游客需要出示身份证进行登记出票，检票时可直接读取身份证检票</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人脸绑定购票</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针对不同产品进行实名购票，可通过人脸识别进行绑定，入园可直接刷脸入园</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取票管理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OTA平台、线上渠道下单游客的自助取票、窗口取票功能，可通过订单号、手机号、身份证等方式查询订单并完成取票</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退票管理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支持未使用门票的退票处理，可自定义退票规则、手续费规则、审核流程；退款方式支持原路返回，支持退票操作人、退票时间、退票状态、退票金额、退票站点等全维度数据统计查询</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门票补打</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针对已经售卖的门票进行补打，用于门票丢失后的补打印</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班结管理</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报表管理</w:t>
                  </w:r>
                  <w:r>
                    <w:rPr>
                      <w:rFonts w:ascii="仿宋_GB2312" w:hAnsi="仿宋_GB2312" w:cs="仿宋_GB2312" w:eastAsia="仿宋_GB2312"/>
                      <w:sz w:val="21"/>
                      <w:color w:val="000000"/>
                    </w:rPr>
                    <w:t>、</w:t>
                  </w:r>
                  <w:r>
                    <w:rPr>
                      <w:rFonts w:ascii="仿宋_GB2312" w:hAnsi="仿宋_GB2312" w:cs="仿宋_GB2312" w:eastAsia="仿宋_GB2312"/>
                      <w:sz w:val="21"/>
                      <w:color w:val="000000"/>
                    </w:rPr>
                    <w:t>针对不同账号统计订单的明细，产品类型，订单状态，支付方式，取票状态的汇总（可导出班结</w:t>
                  </w:r>
                  <w:r>
                    <w:rPr>
                      <w:rFonts w:ascii="仿宋_GB2312" w:hAnsi="仿宋_GB2312" w:cs="仿宋_GB2312" w:eastAsia="仿宋_GB2312"/>
                      <w:sz w:val="21"/>
                      <w:color w:val="000000"/>
                    </w:rPr>
                    <w:t>excel表格）</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销售统计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针对所登录的账号进行销售统计，来源，站点，产品，支付状态，退票，优惠等维度进行数据统计（可导出班结</w:t>
                  </w:r>
                  <w:r>
                    <w:rPr>
                      <w:rFonts w:ascii="仿宋_GB2312" w:hAnsi="仿宋_GB2312" w:cs="仿宋_GB2312" w:eastAsia="仿宋_GB2312"/>
                      <w:sz w:val="21"/>
                      <w:color w:val="000000"/>
                    </w:rPr>
                    <w:t>excel表格）</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综合统计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针对所登录的账号进行销售统计，来源，站点，产品，支付状态，退票，优惠，付款占比等维度进行数据统计（可导出班结</w:t>
                  </w:r>
                  <w:r>
                    <w:rPr>
                      <w:rFonts w:ascii="仿宋_GB2312" w:hAnsi="仿宋_GB2312" w:cs="仿宋_GB2312" w:eastAsia="仿宋_GB2312"/>
                      <w:sz w:val="21"/>
                      <w:color w:val="000000"/>
                    </w:rPr>
                    <w:t>excel表格）</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系统操作日志</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针对该操作员账号记录操作日志，敏感信息记录</w:t>
                  </w:r>
                  <w:r>
                    <w:rPr>
                      <w:rFonts w:ascii="仿宋_GB2312" w:hAnsi="仿宋_GB2312" w:cs="仿宋_GB2312" w:eastAsia="仿宋_GB2312"/>
                      <w:sz w:val="21"/>
                      <w:color w:val="000000"/>
                    </w:rPr>
                    <w:t>。</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ota分销系统</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OTA分销平台</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线上分销</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票务系统需要支持对接</w:t>
                  </w:r>
                  <w:r>
                    <w:rPr>
                      <w:rFonts w:ascii="仿宋_GB2312" w:hAnsi="仿宋_GB2312" w:cs="仿宋_GB2312" w:eastAsia="仿宋_GB2312"/>
                      <w:sz w:val="21"/>
                      <w:color w:val="000000"/>
                    </w:rPr>
                    <w:t>ota平台，目前主流平台（美团、同城、携程、去哪儿、驴妈妈、抖音等）游客通过ota平台购票后，接收短信二维码，直接检票入园，无需兑换门票，如游客需要兑换门票，在游客中心前兑换纸质门票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渠道售票汇总、渠道售票占比</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需要支持目前景区已有的第三方</w:t>
                  </w:r>
                  <w:r>
                    <w:rPr>
                      <w:rFonts w:ascii="仿宋_GB2312" w:hAnsi="仿宋_GB2312" w:cs="仿宋_GB2312" w:eastAsia="仿宋_GB2312"/>
                      <w:sz w:val="21"/>
                      <w:color w:val="000000"/>
                    </w:rPr>
                    <w:t>OTA平台对接</w:t>
                  </w:r>
                  <w:r>
                    <w:rPr>
                      <w:rFonts w:ascii="仿宋_GB2312" w:hAnsi="仿宋_GB2312" w:cs="仿宋_GB2312" w:eastAsia="仿宋_GB2312"/>
                      <w:sz w:val="21"/>
                      <w:color w:val="000000"/>
                    </w:rPr>
                    <w:t>。</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微信一站式服务平台</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微信一站式服务平台</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普通门票预订</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游客通过通过首页或者搜索后选择需要的普通门票、单击购买、填写个人信息、确认支付后即可完成点电子门票在线购买、购买门票成功后会收到验票二维码、游客持二维码即可通过景区的验票设备。</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大数据分析</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运营统计分析</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景区数据</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展示景区的销售渠道、门岗通行、客流、</w:t>
                  </w:r>
                  <w:r>
                    <w:rPr>
                      <w:rFonts w:ascii="仿宋_GB2312" w:hAnsi="仿宋_GB2312" w:cs="仿宋_GB2312" w:eastAsia="仿宋_GB2312"/>
                      <w:sz w:val="21"/>
                      <w:color w:val="000000"/>
                    </w:rPr>
                    <w:t>客源地等数据让景区来做分析</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数据分析展示。</w:t>
                  </w:r>
                  <w:r>
                    <w:rPr>
                      <w:rFonts w:ascii="仿宋_GB2312" w:hAnsi="仿宋_GB2312" w:cs="仿宋_GB2312" w:eastAsia="仿宋_GB2312"/>
                      <w:sz w:val="21"/>
                      <w:color w:val="000000"/>
                    </w:rPr>
                    <w:t>以日、周</w:t>
                  </w:r>
                  <w:r>
                    <w:rPr>
                      <w:rFonts w:ascii="仿宋_GB2312" w:hAnsi="仿宋_GB2312" w:cs="仿宋_GB2312" w:eastAsia="仿宋_GB2312"/>
                      <w:sz w:val="21"/>
                      <w:color w:val="000000"/>
                    </w:rPr>
                    <w:t>、月、年多个时间维度查看数据，并可通过搜索条件搜索。最直观展示景区数据</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营业概况</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营业概况模块可统计一段时间内票务系统的销售金额数据汇总展示</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可按日、月、年来查询每天、每月、每年的营收占比情况。</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交易分析</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选择今天、最近</w:t>
                  </w:r>
                  <w:r>
                    <w:rPr>
                      <w:rFonts w:ascii="仿宋_GB2312" w:hAnsi="仿宋_GB2312" w:cs="仿宋_GB2312" w:eastAsia="仿宋_GB2312"/>
                      <w:sz w:val="21"/>
                      <w:color w:val="000000"/>
                    </w:rPr>
                    <w:t>7天、最近30天、本年</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显示金额和数量（柱形图及表格）</w:t>
                  </w:r>
                  <w:r>
                    <w:rPr>
                      <w:rFonts w:ascii="仿宋_GB2312" w:hAnsi="仿宋_GB2312" w:cs="仿宋_GB2312" w:eastAsia="仿宋_GB2312"/>
                      <w:sz w:val="21"/>
                      <w:color w:val="000000"/>
                    </w:rPr>
                    <w:t>。</w:t>
                  </w:r>
                  <w:r>
                    <w:rPr>
                      <w:rFonts w:ascii="仿宋_GB2312" w:hAnsi="仿宋_GB2312" w:cs="仿宋_GB2312" w:eastAsia="仿宋_GB2312"/>
                      <w:sz w:val="21"/>
                      <w:color w:val="000000"/>
                    </w:rPr>
                    <w:t>亦可通过搜索条件搜索。</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客流量监控</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选择今天、最近</w:t>
                  </w:r>
                  <w:r>
                    <w:rPr>
                      <w:rFonts w:ascii="仿宋_GB2312" w:hAnsi="仿宋_GB2312" w:cs="仿宋_GB2312" w:eastAsia="仿宋_GB2312"/>
                      <w:sz w:val="21"/>
                      <w:color w:val="000000"/>
                    </w:rPr>
                    <w:t>7天、最近30天、本年</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显示景区各个门岗通行数据（饼形图、柱形图及表格）。</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游客分析</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选择今天、最近</w:t>
                  </w:r>
                  <w:r>
                    <w:rPr>
                      <w:rFonts w:ascii="仿宋_GB2312" w:hAnsi="仿宋_GB2312" w:cs="仿宋_GB2312" w:eastAsia="仿宋_GB2312"/>
                      <w:sz w:val="21"/>
                      <w:color w:val="000000"/>
                    </w:rPr>
                    <w:t>7天、最近30天、本年</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显示客源地数据（地图及表格）。</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分时段客流</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按时间段分析客流分布</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可视化数据大屏</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综合概况</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实时客流统计、高峰入园出园时间统计、游客性别占比统计、渠道占比统计、销售占比统计、销售趋势统计、客源地分析统计（要以地图形式展示）</w:t>
                  </w:r>
                  <w:r>
                    <w:rPr>
                      <w:rFonts w:ascii="仿宋_GB2312" w:hAnsi="仿宋_GB2312" w:cs="仿宋_GB2312" w:eastAsia="仿宋_GB2312"/>
                      <w:sz w:val="21"/>
                      <w:color w:val="000000"/>
                    </w:rPr>
                    <w:t>。</w:t>
                  </w:r>
                </w:p>
              </w:tc>
            </w:tr>
            <w:tr>
              <w:tc>
                <w:tcPr>
                  <w:tcW w:type="dxa" w:w="189"/>
                  <w:vMerge/>
                  <w:tcBorders>
                    <w:top w:val="none" w:color="000000" w:sz="4"/>
                    <w:left w:val="single" w:color="000000" w:sz="4"/>
                    <w:bottom w:val="single" w:color="000000" w:sz="4"/>
                    <w:right w:val="single" w:color="000000" w:sz="4"/>
                  </w:tcBorders>
                </w:tcPr>
                <w:p/>
              </w:tc>
              <w:tc>
                <w:tcPr>
                  <w:tcW w:type="dxa" w:w="281"/>
                  <w:vMerge/>
                  <w:tcBorders>
                    <w:top w:val="none" w:color="000000" w:sz="4"/>
                    <w:left w:val="none" w:color="000000" w:sz="4"/>
                    <w:bottom w:val="single" w:color="000000" w:sz="4"/>
                    <w:right w:val="single" w:color="000000" w:sz="4"/>
                  </w:tcBorders>
                </w:tcPr>
                <w:p/>
              </w:tc>
              <w:tc>
                <w:tcPr>
                  <w:tcW w:type="dxa" w:w="326"/>
                  <w:vMerge/>
                  <w:tcBorders>
                    <w:top w:val="none" w:color="000000" w:sz="4"/>
                    <w:left w:val="none" w:color="000000" w:sz="4"/>
                    <w:bottom w:val="single" w:color="000000" w:sz="4"/>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票务业务</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票务渠道销售占比、检票点通行统计。</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9"/>
              <w:gridCol w:w="465"/>
              <w:gridCol w:w="210"/>
              <w:gridCol w:w="231"/>
              <w:gridCol w:w="2297"/>
              <w:gridCol w:w="428"/>
            </w:tblGrid>
            <w:tr>
              <w:tc>
                <w:tcPr>
                  <w:tcW w:type="dxa" w:w="382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硬件设备参数要求</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设备名称</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参数要求</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景区票务豪华翼闸单机芯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产品技术参数</w:t>
                  </w:r>
                  <w:r>
                    <w:br/>
                  </w:r>
                  <w:r>
                    <w:rPr>
                      <w:rFonts w:ascii="仿宋_GB2312" w:hAnsi="仿宋_GB2312" w:cs="仿宋_GB2312" w:eastAsia="仿宋_GB2312"/>
                      <w:sz w:val="21"/>
                      <w:color w:val="000000"/>
                    </w:rPr>
                    <w:t>1、外形尺寸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1400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*宽300mm*高980mm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尺寸偏差</w:t>
                  </w:r>
                  <w:r>
                    <w:rPr>
                      <w:rFonts w:ascii="仿宋_GB2312" w:hAnsi="仿宋_GB2312" w:cs="仿宋_GB2312" w:eastAsia="仿宋_GB2312"/>
                      <w:sz w:val="21"/>
                      <w:color w:val="000000"/>
                    </w:rPr>
                    <w:t>≤±5mm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整机采用</w:t>
                  </w:r>
                  <w:r>
                    <w:rPr>
                      <w:rFonts w:ascii="仿宋_GB2312" w:hAnsi="仿宋_GB2312" w:cs="仿宋_GB2312" w:eastAsia="仿宋_GB2312"/>
                      <w:sz w:val="21"/>
                      <w:color w:val="000000"/>
                    </w:rPr>
                    <w:t>304不锈钢材质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板材标称厚度</w:t>
                  </w:r>
                  <w:r>
                    <w:rPr>
                      <w:rFonts w:ascii="仿宋_GB2312" w:hAnsi="仿宋_GB2312" w:cs="仿宋_GB2312" w:eastAsia="仿宋_GB2312"/>
                      <w:sz w:val="21"/>
                      <w:color w:val="000000"/>
                    </w:rPr>
                    <w:t>1.5mm，实测最小厚度不低于 1.41mm，具备防腐蚀、防撞击性能，适配室内外长期使用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3、电源电压</w:t>
                  </w:r>
                  <w:r>
                    <w:rPr>
                      <w:rFonts w:ascii="仿宋_GB2312" w:hAnsi="仿宋_GB2312" w:cs="仿宋_GB2312" w:eastAsia="仿宋_GB2312"/>
                      <w:sz w:val="21"/>
                      <w:color w:val="000000"/>
                    </w:rPr>
                    <w:t>：</w:t>
                  </w:r>
                  <w:r>
                    <w:rPr>
                      <w:rFonts w:ascii="仿宋_GB2312" w:hAnsi="仿宋_GB2312" w:cs="仿宋_GB2312" w:eastAsia="仿宋_GB2312"/>
                      <w:sz w:val="21"/>
                      <w:color w:val="000000"/>
                    </w:rPr>
                    <w:t>AC220V±10%、50Hz；</w:t>
                  </w:r>
                  <w:r>
                    <w:rPr>
                      <w:rFonts w:ascii="仿宋_GB2312" w:hAnsi="仿宋_GB2312" w:cs="仿宋_GB2312" w:eastAsia="仿宋_GB2312"/>
                      <w:sz w:val="21"/>
                      <w:color w:val="000000"/>
                    </w:rPr>
                    <w:t>驱动电机</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24V直流无刷电机，运行平稳无噪音</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4、机芯:</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单侧全高直驱机芯</w:t>
                  </w:r>
                  <w:r>
                    <w:rPr>
                      <w:rFonts w:ascii="仿宋_GB2312" w:hAnsi="仿宋_GB2312" w:cs="仿宋_GB2312" w:eastAsia="仿宋_GB2312"/>
                      <w:sz w:val="21"/>
                      <w:color w:val="000000"/>
                    </w:rPr>
                    <w:t>，</w:t>
                  </w:r>
                  <w:r>
                    <w:rPr>
                      <w:rFonts w:ascii="仿宋_GB2312" w:hAnsi="仿宋_GB2312" w:cs="仿宋_GB2312" w:eastAsia="仿宋_GB2312"/>
                      <w:sz w:val="21"/>
                      <w:color w:val="000000"/>
                    </w:rPr>
                    <w:t>搭配</w:t>
                  </w:r>
                  <w:r>
                    <w:rPr>
                      <w:rFonts w:ascii="仿宋_GB2312" w:hAnsi="仿宋_GB2312" w:cs="仿宋_GB2312" w:eastAsia="仿宋_GB2312"/>
                      <w:sz w:val="21"/>
                      <w:color w:val="000000"/>
                    </w:rPr>
                    <w:t>50mm厚软翼具备防夹、防撞、防尾随功能；设备标配不少于8对红外检测传感器，精准监测行人通行状态；</w:t>
                  </w:r>
                  <w:r>
                    <w:br/>
                  </w:r>
                  <w:r>
                    <w:rPr>
                      <w:rFonts w:ascii="仿宋_GB2312" w:hAnsi="仿宋_GB2312" w:cs="仿宋_GB2312" w:eastAsia="仿宋_GB2312"/>
                      <w:sz w:val="21"/>
                      <w:color w:val="000000"/>
                    </w:rPr>
                    <w:t>5、工作环境温度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25℃～+60℃</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投标人须提供第三方检测机构出具的对应温度范围的高低温环境适应性检测报告佐证</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6、电机使用寿命</w:t>
                  </w:r>
                  <w:r>
                    <w:rPr>
                      <w:rFonts w:ascii="仿宋_GB2312" w:hAnsi="仿宋_GB2312" w:cs="仿宋_GB2312" w:eastAsia="仿宋_GB2312"/>
                      <w:sz w:val="21"/>
                      <w:color w:val="000000"/>
                    </w:rPr>
                    <w:t>：</w:t>
                  </w:r>
                  <w:r>
                    <w:rPr>
                      <w:rFonts w:ascii="仿宋_GB2312" w:hAnsi="仿宋_GB2312" w:cs="仿宋_GB2312" w:eastAsia="仿宋_GB2312"/>
                      <w:sz w:val="21"/>
                      <w:color w:val="000000"/>
                    </w:rPr>
                    <w:t>驱动电机无故障运行使用寿命不低于</w:t>
                  </w:r>
                  <w:r>
                    <w:rPr>
                      <w:rFonts w:ascii="仿宋_GB2312" w:hAnsi="仿宋_GB2312" w:cs="仿宋_GB2312" w:eastAsia="仿宋_GB2312"/>
                      <w:sz w:val="21"/>
                      <w:color w:val="000000"/>
                    </w:rPr>
                    <w:t>2000万次；</w:t>
                  </w:r>
                  <w:r>
                    <w:br/>
                  </w:r>
                  <w:r>
                    <w:rPr>
                      <w:rFonts w:ascii="仿宋_GB2312" w:hAnsi="仿宋_GB2312" w:cs="仿宋_GB2312" w:eastAsia="仿宋_GB2312"/>
                      <w:sz w:val="21"/>
                      <w:color w:val="000000"/>
                    </w:rPr>
                    <w:t>7、相对湿度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≤95%、不凝露；</w:t>
                  </w:r>
                  <w:r>
                    <w:br/>
                  </w:r>
                  <w:r>
                    <w:rPr>
                      <w:rFonts w:ascii="仿宋_GB2312" w:hAnsi="仿宋_GB2312" w:cs="仿宋_GB2312" w:eastAsia="仿宋_GB2312"/>
                      <w:sz w:val="21"/>
                      <w:color w:val="000000"/>
                    </w:rPr>
                    <w:t>8、输入接口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12V电平信号或脉宽＞100ms的12V脉冲信号；　</w:t>
                  </w:r>
                  <w:r>
                    <w:br/>
                  </w:r>
                  <w:r>
                    <w:rPr>
                      <w:rFonts w:ascii="仿宋_GB2312" w:hAnsi="仿宋_GB2312" w:cs="仿宋_GB2312" w:eastAsia="仿宋_GB2312"/>
                      <w:sz w:val="21"/>
                      <w:color w:val="000000"/>
                    </w:rPr>
                    <w:t>9、通信接口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RS485电气标准；</w:t>
                  </w:r>
                  <w:r>
                    <w:br/>
                  </w:r>
                  <w:r>
                    <w:rPr>
                      <w:rFonts w:ascii="仿宋_GB2312" w:hAnsi="仿宋_GB2312" w:cs="仿宋_GB2312" w:eastAsia="仿宋_GB2312"/>
                      <w:sz w:val="21"/>
                      <w:color w:val="000000"/>
                    </w:rPr>
                    <w:t>10、最大通道宽</w:t>
                  </w:r>
                  <w:r>
                    <w:rPr>
                      <w:rFonts w:ascii="仿宋_GB2312" w:hAnsi="仿宋_GB2312" w:cs="仿宋_GB2312" w:eastAsia="仿宋_GB2312"/>
                      <w:sz w:val="21"/>
                      <w:color w:val="000000"/>
                    </w:rPr>
                    <w:t>：</w:t>
                  </w:r>
                  <w:r>
                    <w:rPr>
                      <w:rFonts w:ascii="仿宋_GB2312" w:hAnsi="仿宋_GB2312" w:cs="仿宋_GB2312" w:eastAsia="仿宋_GB2312"/>
                      <w:sz w:val="24"/>
                    </w:rPr>
                    <w:t>≥</w:t>
                  </w:r>
                  <w:r>
                    <w:rPr>
                      <w:rFonts w:ascii="仿宋_GB2312" w:hAnsi="仿宋_GB2312" w:cs="仿宋_GB2312" w:eastAsia="仿宋_GB2312"/>
                      <w:sz w:val="21"/>
                      <w:color w:val="000000"/>
                    </w:rPr>
                    <w:t>550mm；</w:t>
                  </w:r>
                  <w:r>
                    <w:br/>
                  </w:r>
                  <w:r>
                    <w:rPr>
                      <w:rFonts w:ascii="仿宋_GB2312" w:hAnsi="仿宋_GB2312" w:cs="仿宋_GB2312" w:eastAsia="仿宋_GB2312"/>
                      <w:sz w:val="21"/>
                      <w:color w:val="000000"/>
                    </w:rPr>
                    <w:t>11、通行速度</w:t>
                  </w:r>
                  <w:r>
                    <w:rPr>
                      <w:rFonts w:ascii="仿宋_GB2312" w:hAnsi="仿宋_GB2312" w:cs="仿宋_GB2312" w:eastAsia="仿宋_GB2312"/>
                      <w:sz w:val="21"/>
                      <w:color w:val="000000"/>
                    </w:rPr>
                    <w:t>：</w:t>
                  </w:r>
                  <w:r>
                    <w:rPr>
                      <w:rFonts w:ascii="仿宋_GB2312" w:hAnsi="仿宋_GB2312" w:cs="仿宋_GB2312" w:eastAsia="仿宋_GB2312"/>
                      <w:sz w:val="24"/>
                    </w:rPr>
                    <w:t>≥</w:t>
                  </w:r>
                  <w:r>
                    <w:rPr>
                      <w:rFonts w:ascii="仿宋_GB2312" w:hAnsi="仿宋_GB2312" w:cs="仿宋_GB2312" w:eastAsia="仿宋_GB2312"/>
                      <w:sz w:val="21"/>
                      <w:color w:val="000000"/>
                    </w:rPr>
                    <w:t>40人/分钟；</w:t>
                  </w:r>
                  <w:r>
                    <w:br/>
                  </w:r>
                  <w:r>
                    <w:rPr>
                      <w:rFonts w:ascii="仿宋_GB2312" w:hAnsi="仿宋_GB2312" w:cs="仿宋_GB2312" w:eastAsia="仿宋_GB2312"/>
                      <w:sz w:val="21"/>
                      <w:color w:val="000000"/>
                    </w:rPr>
                    <w:t>12、闸门开、关时间</w:t>
                  </w:r>
                  <w:r>
                    <w:rPr>
                      <w:rFonts w:ascii="仿宋_GB2312" w:hAnsi="仿宋_GB2312" w:cs="仿宋_GB2312" w:eastAsia="仿宋_GB2312"/>
                      <w:sz w:val="21"/>
                      <w:color w:val="000000"/>
                    </w:rPr>
                    <w:t>：</w:t>
                  </w:r>
                  <w:r>
                    <w:rPr>
                      <w:rFonts w:ascii="仿宋_GB2312" w:hAnsi="仿宋_GB2312" w:cs="仿宋_GB2312" w:eastAsia="仿宋_GB2312"/>
                      <w:sz w:val="24"/>
                    </w:rPr>
                    <w:t>≤</w:t>
                  </w:r>
                  <w:r>
                    <w:rPr>
                      <w:rFonts w:ascii="仿宋_GB2312" w:hAnsi="仿宋_GB2312" w:cs="仿宋_GB2312" w:eastAsia="仿宋_GB2312"/>
                      <w:sz w:val="21"/>
                      <w:color w:val="000000"/>
                    </w:rPr>
                    <w:t>1秒(</w:t>
                  </w:r>
                  <w:r>
                    <w:rPr>
                      <w:rFonts w:ascii="仿宋_GB2312" w:hAnsi="仿宋_GB2312" w:cs="仿宋_GB2312" w:eastAsia="仿宋_GB2312"/>
                      <w:sz w:val="21"/>
                      <w:color w:val="000000"/>
                    </w:rPr>
                    <w:t>速度</w:t>
                  </w:r>
                  <w:r>
                    <w:rPr>
                      <w:rFonts w:ascii="仿宋_GB2312" w:hAnsi="仿宋_GB2312" w:cs="仿宋_GB2312" w:eastAsia="仿宋_GB2312"/>
                      <w:sz w:val="21"/>
                      <w:color w:val="000000"/>
                    </w:rPr>
                    <w:t>可调</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13、工作环境</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室内、室外</w:t>
                  </w:r>
                  <w:r>
                    <w:rPr>
                      <w:rFonts w:ascii="仿宋_GB2312" w:hAnsi="仿宋_GB2312" w:cs="仿宋_GB2312" w:eastAsia="仿宋_GB2312"/>
                      <w:sz w:val="21"/>
                      <w:color w:val="000000"/>
                    </w:rPr>
                    <w:t>全天候安装使用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14、扩展功能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外接</w:t>
                  </w:r>
                  <w:r>
                    <w:rPr>
                      <w:rFonts w:ascii="仿宋_GB2312" w:hAnsi="仿宋_GB2312" w:cs="仿宋_GB2312" w:eastAsia="仿宋_GB2312"/>
                      <w:sz w:val="21"/>
                      <w:color w:val="000000"/>
                    </w:rPr>
                    <w:t>ID、IC卡，指纹识别、人脸识别、指静脉识别、二维码识别、身份证识别、手机APP开闸</w:t>
                  </w:r>
                  <w:r>
                    <w:rPr>
                      <w:rFonts w:ascii="仿宋_GB2312" w:hAnsi="仿宋_GB2312" w:cs="仿宋_GB2312" w:eastAsia="仿宋_GB2312"/>
                      <w:sz w:val="21"/>
                      <w:color w:val="000000"/>
                    </w:rPr>
                    <w:t>，可与</w:t>
                  </w:r>
                  <w:r>
                    <w:rPr>
                      <w:rFonts w:ascii="仿宋_GB2312" w:hAnsi="仿宋_GB2312" w:cs="仿宋_GB2312" w:eastAsia="仿宋_GB2312"/>
                      <w:sz w:val="21"/>
                      <w:color w:val="000000"/>
                    </w:rPr>
                    <w:t>人体综合防静电设备、安检门、访客系统</w:t>
                  </w:r>
                  <w:r>
                    <w:rPr>
                      <w:rFonts w:ascii="仿宋_GB2312" w:hAnsi="仿宋_GB2312" w:cs="仿宋_GB2312" w:eastAsia="仿宋_GB2312"/>
                      <w:sz w:val="21"/>
                      <w:color w:val="000000"/>
                    </w:rPr>
                    <w:t>等平台无缝对接</w:t>
                  </w:r>
                  <w:r>
                    <w:rPr>
                      <w:rFonts w:ascii="仿宋_GB2312" w:hAnsi="仿宋_GB2312" w:cs="仿宋_GB2312" w:eastAsia="仿宋_GB2312"/>
                      <w:sz w:val="21"/>
                      <w:color w:val="000000"/>
                    </w:rPr>
                    <w:t>。</w:t>
                  </w:r>
                </w:p>
              </w:tc>
              <w:tc>
                <w:tcPr>
                  <w:tcW w:type="dxa" w:w="4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景区入园处为</w:t>
                  </w:r>
                  <w:r>
                    <w:rPr>
                      <w:rFonts w:ascii="仿宋_GB2312" w:hAnsi="仿宋_GB2312" w:cs="仿宋_GB2312" w:eastAsia="仿宋_GB2312"/>
                      <w:sz w:val="21"/>
                      <w:color w:val="000000"/>
                    </w:rPr>
                    <w:t>2个进口，2个出口，均为单向通行，采用翼闸闸机，进出口均在同一个地方</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景区票务豪华翼闸双机芯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产品技术参数</w:t>
                  </w:r>
                  <w:r>
                    <w:br/>
                  </w:r>
                  <w:r>
                    <w:rPr>
                      <w:rFonts w:ascii="仿宋_GB2312" w:hAnsi="仿宋_GB2312" w:cs="仿宋_GB2312" w:eastAsia="仿宋_GB2312"/>
                      <w:sz w:val="21"/>
                      <w:color w:val="000000"/>
                    </w:rPr>
                    <w:t>1、外形尺寸</w:t>
                  </w:r>
                  <w:r>
                    <w:rPr>
                      <w:rFonts w:ascii="仿宋_GB2312" w:hAnsi="仿宋_GB2312" w:cs="仿宋_GB2312" w:eastAsia="仿宋_GB2312"/>
                      <w:sz w:val="21"/>
                      <w:color w:val="000000"/>
                    </w:rPr>
                    <w:t>：长</w:t>
                  </w:r>
                  <w:r>
                    <w:rPr>
                      <w:rFonts w:ascii="仿宋_GB2312" w:hAnsi="仿宋_GB2312" w:cs="仿宋_GB2312" w:eastAsia="仿宋_GB2312"/>
                      <w:sz w:val="21"/>
                      <w:color w:val="000000"/>
                    </w:rPr>
                    <w:t>1400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*宽300mm*高980mm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尺寸偏差</w:t>
                  </w:r>
                  <w:r>
                    <w:rPr>
                      <w:rFonts w:ascii="仿宋_GB2312" w:hAnsi="仿宋_GB2312" w:cs="仿宋_GB2312" w:eastAsia="仿宋_GB2312"/>
                      <w:sz w:val="21"/>
                      <w:color w:val="000000"/>
                    </w:rPr>
                    <w:t>≤±5mm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整机采用</w:t>
                  </w:r>
                  <w:r>
                    <w:rPr>
                      <w:rFonts w:ascii="仿宋_GB2312" w:hAnsi="仿宋_GB2312" w:cs="仿宋_GB2312" w:eastAsia="仿宋_GB2312"/>
                      <w:sz w:val="21"/>
                      <w:color w:val="000000"/>
                    </w:rPr>
                    <w:t>304不锈钢材质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板材标称厚度</w:t>
                  </w:r>
                  <w:r>
                    <w:rPr>
                      <w:rFonts w:ascii="仿宋_GB2312" w:hAnsi="仿宋_GB2312" w:cs="仿宋_GB2312" w:eastAsia="仿宋_GB2312"/>
                      <w:sz w:val="21"/>
                      <w:color w:val="000000"/>
                    </w:rPr>
                    <w:t>1.5mm，实测最小厚度不低于 1.41mm，具备防腐蚀、防撞击性能，适配室内外长期使用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3、电源电压</w:t>
                  </w:r>
                  <w:r>
                    <w:rPr>
                      <w:rFonts w:ascii="仿宋_GB2312" w:hAnsi="仿宋_GB2312" w:cs="仿宋_GB2312" w:eastAsia="仿宋_GB2312"/>
                      <w:sz w:val="21"/>
                      <w:color w:val="000000"/>
                    </w:rPr>
                    <w:t>：</w:t>
                  </w:r>
                  <w:r>
                    <w:rPr>
                      <w:rFonts w:ascii="仿宋_GB2312" w:hAnsi="仿宋_GB2312" w:cs="仿宋_GB2312" w:eastAsia="仿宋_GB2312"/>
                      <w:sz w:val="21"/>
                      <w:color w:val="000000"/>
                    </w:rPr>
                    <w:t>AC220V±10%、50Hz；</w:t>
                  </w:r>
                  <w:r>
                    <w:rPr>
                      <w:rFonts w:ascii="仿宋_GB2312" w:hAnsi="仿宋_GB2312" w:cs="仿宋_GB2312" w:eastAsia="仿宋_GB2312"/>
                      <w:sz w:val="21"/>
                      <w:color w:val="000000"/>
                    </w:rPr>
                    <w:t>驱动电机</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24V直流无刷电机，运行平稳无噪音</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4、机芯:</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单侧全高直驱机芯</w:t>
                  </w:r>
                  <w:r>
                    <w:rPr>
                      <w:rFonts w:ascii="仿宋_GB2312" w:hAnsi="仿宋_GB2312" w:cs="仿宋_GB2312" w:eastAsia="仿宋_GB2312"/>
                      <w:sz w:val="21"/>
                      <w:color w:val="000000"/>
                    </w:rPr>
                    <w:t>，</w:t>
                  </w:r>
                  <w:r>
                    <w:rPr>
                      <w:rFonts w:ascii="仿宋_GB2312" w:hAnsi="仿宋_GB2312" w:cs="仿宋_GB2312" w:eastAsia="仿宋_GB2312"/>
                      <w:sz w:val="21"/>
                      <w:color w:val="000000"/>
                    </w:rPr>
                    <w:t>搭配</w:t>
                  </w:r>
                  <w:r>
                    <w:rPr>
                      <w:rFonts w:ascii="仿宋_GB2312" w:hAnsi="仿宋_GB2312" w:cs="仿宋_GB2312" w:eastAsia="仿宋_GB2312"/>
                      <w:sz w:val="21"/>
                      <w:color w:val="000000"/>
                    </w:rPr>
                    <w:t>50mm厚软翼具备防夹、防撞、防尾随功能；设备标配不少于8对红外检测传感器，精准监测行人通行状态；</w:t>
                  </w:r>
                  <w:r>
                    <w:br/>
                  </w:r>
                  <w:r>
                    <w:rPr>
                      <w:rFonts w:ascii="仿宋_GB2312" w:hAnsi="仿宋_GB2312" w:cs="仿宋_GB2312" w:eastAsia="仿宋_GB2312"/>
                      <w:sz w:val="21"/>
                      <w:color w:val="000000"/>
                    </w:rPr>
                    <w:t>5、工作环境温度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25℃～+60℃</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投标人须提供第三方检测机构出具的对应温度范围的高低温环境适应性检测报告佐证</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6、电机使用寿命</w:t>
                  </w:r>
                  <w:r>
                    <w:rPr>
                      <w:rFonts w:ascii="仿宋_GB2312" w:hAnsi="仿宋_GB2312" w:cs="仿宋_GB2312" w:eastAsia="仿宋_GB2312"/>
                      <w:sz w:val="21"/>
                      <w:color w:val="000000"/>
                    </w:rPr>
                    <w:t>：</w:t>
                  </w:r>
                  <w:r>
                    <w:rPr>
                      <w:rFonts w:ascii="仿宋_GB2312" w:hAnsi="仿宋_GB2312" w:cs="仿宋_GB2312" w:eastAsia="仿宋_GB2312"/>
                      <w:sz w:val="21"/>
                      <w:color w:val="000000"/>
                    </w:rPr>
                    <w:t>驱动电机无故障运行使用寿命不低于</w:t>
                  </w:r>
                  <w:r>
                    <w:rPr>
                      <w:rFonts w:ascii="仿宋_GB2312" w:hAnsi="仿宋_GB2312" w:cs="仿宋_GB2312" w:eastAsia="仿宋_GB2312"/>
                      <w:sz w:val="21"/>
                      <w:color w:val="000000"/>
                    </w:rPr>
                    <w:t>2000万次；</w:t>
                  </w:r>
                  <w:r>
                    <w:br/>
                  </w:r>
                  <w:r>
                    <w:rPr>
                      <w:rFonts w:ascii="仿宋_GB2312" w:hAnsi="仿宋_GB2312" w:cs="仿宋_GB2312" w:eastAsia="仿宋_GB2312"/>
                      <w:sz w:val="21"/>
                      <w:color w:val="000000"/>
                    </w:rPr>
                    <w:t>7、相对湿度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≤95%、不凝露；</w:t>
                  </w:r>
                  <w:r>
                    <w:br/>
                  </w:r>
                  <w:r>
                    <w:rPr>
                      <w:rFonts w:ascii="仿宋_GB2312" w:hAnsi="仿宋_GB2312" w:cs="仿宋_GB2312" w:eastAsia="仿宋_GB2312"/>
                      <w:sz w:val="21"/>
                      <w:color w:val="000000"/>
                    </w:rPr>
                    <w:t>8、输入接口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12V电平信号或脉宽＞100ms的12V脉冲信号；　</w:t>
                  </w:r>
                  <w:r>
                    <w:br/>
                  </w:r>
                  <w:r>
                    <w:rPr>
                      <w:rFonts w:ascii="仿宋_GB2312" w:hAnsi="仿宋_GB2312" w:cs="仿宋_GB2312" w:eastAsia="仿宋_GB2312"/>
                      <w:sz w:val="21"/>
                      <w:color w:val="000000"/>
                    </w:rPr>
                    <w:t>9、通信接口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RS485电气标准；</w:t>
                  </w:r>
                  <w:r>
                    <w:br/>
                  </w:r>
                  <w:r>
                    <w:rPr>
                      <w:rFonts w:ascii="仿宋_GB2312" w:hAnsi="仿宋_GB2312" w:cs="仿宋_GB2312" w:eastAsia="仿宋_GB2312"/>
                      <w:sz w:val="21"/>
                      <w:color w:val="000000"/>
                    </w:rPr>
                    <w:t>10、最大通道宽</w:t>
                  </w:r>
                  <w:r>
                    <w:rPr>
                      <w:rFonts w:ascii="仿宋_GB2312" w:hAnsi="仿宋_GB2312" w:cs="仿宋_GB2312" w:eastAsia="仿宋_GB2312"/>
                      <w:sz w:val="21"/>
                      <w:color w:val="000000"/>
                    </w:rPr>
                    <w:t>：</w:t>
                  </w:r>
                  <w:r>
                    <w:rPr>
                      <w:rFonts w:ascii="仿宋_GB2312" w:hAnsi="仿宋_GB2312" w:cs="仿宋_GB2312" w:eastAsia="仿宋_GB2312"/>
                      <w:sz w:val="24"/>
                    </w:rPr>
                    <w:t>≥</w:t>
                  </w:r>
                  <w:r>
                    <w:rPr>
                      <w:rFonts w:ascii="仿宋_GB2312" w:hAnsi="仿宋_GB2312" w:cs="仿宋_GB2312" w:eastAsia="仿宋_GB2312"/>
                      <w:sz w:val="21"/>
                      <w:color w:val="000000"/>
                    </w:rPr>
                    <w:t>550mm；</w:t>
                  </w:r>
                  <w:r>
                    <w:br/>
                  </w:r>
                  <w:r>
                    <w:rPr>
                      <w:rFonts w:ascii="仿宋_GB2312" w:hAnsi="仿宋_GB2312" w:cs="仿宋_GB2312" w:eastAsia="仿宋_GB2312"/>
                      <w:sz w:val="21"/>
                      <w:color w:val="000000"/>
                    </w:rPr>
                    <w:t>11、通行速度</w:t>
                  </w:r>
                  <w:r>
                    <w:rPr>
                      <w:rFonts w:ascii="仿宋_GB2312" w:hAnsi="仿宋_GB2312" w:cs="仿宋_GB2312" w:eastAsia="仿宋_GB2312"/>
                      <w:sz w:val="21"/>
                      <w:color w:val="000000"/>
                    </w:rPr>
                    <w:t>：</w:t>
                  </w:r>
                  <w:r>
                    <w:rPr>
                      <w:rFonts w:ascii="仿宋_GB2312" w:hAnsi="仿宋_GB2312" w:cs="仿宋_GB2312" w:eastAsia="仿宋_GB2312"/>
                      <w:sz w:val="24"/>
                    </w:rPr>
                    <w:t>≥</w:t>
                  </w:r>
                  <w:r>
                    <w:rPr>
                      <w:rFonts w:ascii="仿宋_GB2312" w:hAnsi="仿宋_GB2312" w:cs="仿宋_GB2312" w:eastAsia="仿宋_GB2312"/>
                      <w:sz w:val="21"/>
                      <w:color w:val="000000"/>
                    </w:rPr>
                    <w:t>40人/分钟；</w:t>
                  </w:r>
                  <w:r>
                    <w:br/>
                  </w:r>
                  <w:r>
                    <w:rPr>
                      <w:rFonts w:ascii="仿宋_GB2312" w:hAnsi="仿宋_GB2312" w:cs="仿宋_GB2312" w:eastAsia="仿宋_GB2312"/>
                      <w:sz w:val="21"/>
                      <w:color w:val="000000"/>
                    </w:rPr>
                    <w:t>12、闸门开、关时间</w:t>
                  </w:r>
                  <w:r>
                    <w:rPr>
                      <w:rFonts w:ascii="仿宋_GB2312" w:hAnsi="仿宋_GB2312" w:cs="仿宋_GB2312" w:eastAsia="仿宋_GB2312"/>
                      <w:sz w:val="21"/>
                      <w:color w:val="000000"/>
                    </w:rPr>
                    <w:t>：</w:t>
                  </w:r>
                  <w:r>
                    <w:rPr>
                      <w:rFonts w:ascii="仿宋_GB2312" w:hAnsi="仿宋_GB2312" w:cs="仿宋_GB2312" w:eastAsia="仿宋_GB2312"/>
                      <w:sz w:val="24"/>
                    </w:rPr>
                    <w:t>≤</w:t>
                  </w:r>
                  <w:r>
                    <w:rPr>
                      <w:rFonts w:ascii="仿宋_GB2312" w:hAnsi="仿宋_GB2312" w:cs="仿宋_GB2312" w:eastAsia="仿宋_GB2312"/>
                      <w:sz w:val="21"/>
                      <w:color w:val="000000"/>
                    </w:rPr>
                    <w:t>1秒(</w:t>
                  </w:r>
                  <w:r>
                    <w:rPr>
                      <w:rFonts w:ascii="仿宋_GB2312" w:hAnsi="仿宋_GB2312" w:cs="仿宋_GB2312" w:eastAsia="仿宋_GB2312"/>
                      <w:sz w:val="21"/>
                      <w:color w:val="000000"/>
                    </w:rPr>
                    <w:t>速度</w:t>
                  </w:r>
                  <w:r>
                    <w:rPr>
                      <w:rFonts w:ascii="仿宋_GB2312" w:hAnsi="仿宋_GB2312" w:cs="仿宋_GB2312" w:eastAsia="仿宋_GB2312"/>
                      <w:sz w:val="21"/>
                      <w:color w:val="000000"/>
                    </w:rPr>
                    <w:t>可调</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13、工作环境</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室内、室外</w:t>
                  </w:r>
                  <w:r>
                    <w:rPr>
                      <w:rFonts w:ascii="仿宋_GB2312" w:hAnsi="仿宋_GB2312" w:cs="仿宋_GB2312" w:eastAsia="仿宋_GB2312"/>
                      <w:sz w:val="21"/>
                      <w:color w:val="000000"/>
                    </w:rPr>
                    <w:t>全天候安装使用</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14、扩展功能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外接</w:t>
                  </w:r>
                  <w:r>
                    <w:rPr>
                      <w:rFonts w:ascii="仿宋_GB2312" w:hAnsi="仿宋_GB2312" w:cs="仿宋_GB2312" w:eastAsia="仿宋_GB2312"/>
                      <w:sz w:val="21"/>
                      <w:color w:val="000000"/>
                    </w:rPr>
                    <w:t>ID、IC卡，指纹识别、人脸识别、指静脉识别、二维码识别、身份证识别、手机APP开闸</w:t>
                  </w:r>
                  <w:r>
                    <w:rPr>
                      <w:rFonts w:ascii="仿宋_GB2312" w:hAnsi="仿宋_GB2312" w:cs="仿宋_GB2312" w:eastAsia="仿宋_GB2312"/>
                      <w:sz w:val="21"/>
                      <w:color w:val="000000"/>
                    </w:rPr>
                    <w:t>，可与</w:t>
                  </w:r>
                  <w:r>
                    <w:rPr>
                      <w:rFonts w:ascii="仿宋_GB2312" w:hAnsi="仿宋_GB2312" w:cs="仿宋_GB2312" w:eastAsia="仿宋_GB2312"/>
                      <w:sz w:val="21"/>
                      <w:color w:val="000000"/>
                    </w:rPr>
                    <w:t>人体综合防静电设备、安检门、访客系统</w:t>
                  </w:r>
                  <w:r>
                    <w:rPr>
                      <w:rFonts w:ascii="仿宋_GB2312" w:hAnsi="仿宋_GB2312" w:cs="仿宋_GB2312" w:eastAsia="仿宋_GB2312"/>
                      <w:sz w:val="21"/>
                      <w:color w:val="000000"/>
                    </w:rPr>
                    <w:t>等平台无缝对接</w:t>
                  </w:r>
                  <w:r>
                    <w:rPr>
                      <w:rFonts w:ascii="仿宋_GB2312" w:hAnsi="仿宋_GB2312" w:cs="仿宋_GB2312" w:eastAsia="仿宋_GB2312"/>
                      <w:sz w:val="21"/>
                      <w:color w:val="000000"/>
                    </w:rPr>
                    <w:t>。</w:t>
                  </w:r>
                </w:p>
              </w:tc>
              <w:tc>
                <w:tcPr>
                  <w:tcW w:type="dxa" w:w="428"/>
                  <w:vMerge/>
                  <w:tcBorders>
                    <w:top w:val="none" w:color="000000" w:sz="4"/>
                    <w:left w:val="none" w:color="000000" w:sz="4"/>
                    <w:bottom w:val="single" w:color="000000" w:sz="4"/>
                    <w:right w:val="single" w:color="000000" w:sz="4"/>
                  </w:tcBorders>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闸机显示屏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7英寸液晶显示屏，适配闸机嵌入式安装</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分辨率不低于</w:t>
                  </w:r>
                  <w:r>
                    <w:rPr>
                      <w:rFonts w:ascii="仿宋_GB2312" w:hAnsi="仿宋_GB2312" w:cs="仿宋_GB2312" w:eastAsia="仿宋_GB2312"/>
                      <w:sz w:val="21"/>
                      <w:color w:val="000000"/>
                    </w:rPr>
                    <w:t>1024×600，屏幕亮度≥350cd/㎡，支持宽温运行，强光下画面清晰可见，可实时展示票务检票状态、通行提示、告警信息等内容</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系统适配：支持与闸机主控系统、景区票务系统无缝对接</w:t>
                  </w: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二维码刷卡读卡器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核心功能：设备集成二维码扫描</w:t>
                  </w:r>
                  <w:r>
                    <w:rPr>
                      <w:rFonts w:ascii="仿宋_GB2312" w:hAnsi="仿宋_GB2312" w:cs="仿宋_GB2312" w:eastAsia="仿宋_GB2312"/>
                      <w:sz w:val="21"/>
                      <w:color w:val="000000"/>
                    </w:rPr>
                    <w:t>+ IC卡读卡双功能，适配闸机嵌入式安装，满足景区票务检票需求</w:t>
                  </w:r>
                </w:p>
                <w:p>
                  <w:pPr>
                    <w:pStyle w:val="null3"/>
                    <w:numPr>
                      <w:ilvl w:val="0"/>
                      <w:numId w:val="1"/>
                    </w:numPr>
                    <w:jc w:val="left"/>
                  </w:pPr>
                  <w:r>
                    <w:rPr>
                      <w:rFonts w:ascii="仿宋_GB2312" w:hAnsi="仿宋_GB2312" w:cs="仿宋_GB2312" w:eastAsia="仿宋_GB2312"/>
                      <w:sz w:val="21"/>
                      <w:color w:val="000000"/>
                    </w:rPr>
                    <w:t>二维码扫描性能：支持</w:t>
                  </w:r>
                  <w:r>
                    <w:rPr>
                      <w:rFonts w:ascii="仿宋_GB2312" w:hAnsi="仿宋_GB2312" w:cs="仿宋_GB2312" w:eastAsia="仿宋_GB2312"/>
                      <w:sz w:val="21"/>
                      <w:color w:val="000000"/>
                    </w:rPr>
                    <w:t xml:space="preserve"> QR Code、PDF417、Data Matrix 等主流票务码制，识别速度≤200ms，扫码距离0.5cm~10cm，支持屏幕码、纸质码快速识别，强光 / 弱光环境下均可稳定识读</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读卡性能：支持符合</w:t>
                  </w:r>
                  <w:r>
                    <w:rPr>
                      <w:rFonts w:ascii="仿宋_GB2312" w:hAnsi="仿宋_GB2312" w:cs="仿宋_GB2312" w:eastAsia="仿宋_GB2312"/>
                      <w:sz w:val="21"/>
                      <w:color w:val="000000"/>
                    </w:rPr>
                    <w:t>ISO14443 TypeA/B标准的非接触式IC卡，读卡速度≤100ms，读卡距离 0cm</w:t>
                  </w:r>
                  <w:r>
                    <w:rPr>
                      <w:rFonts w:ascii="仿宋_GB2312" w:hAnsi="仿宋_GB2312" w:cs="仿宋_GB2312" w:eastAsia="仿宋_GB2312"/>
                      <w:sz w:val="21"/>
                      <w:color w:val="000000"/>
                    </w:rPr>
                    <w:t>-</w:t>
                  </w:r>
                  <w:r>
                    <w:rPr>
                      <w:rFonts w:ascii="仿宋_GB2312" w:hAnsi="仿宋_GB2312" w:cs="仿宋_GB2312" w:eastAsia="仿宋_GB2312"/>
                      <w:sz w:val="21"/>
                      <w:color w:val="000000"/>
                    </w:rPr>
                    <w:t>5cm</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接口与供电：具备标准通信接口，支持与闸机主控板、票务系统稳定对接；供电与闸机主机供电系统适配，无需额外独立供电</w:t>
                  </w: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嵌入式身份证阅读器（闸机专用）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闸机专用，嵌入式二维码检票扫描仪，安装在入口方向的</w:t>
                  </w:r>
                  <w:r>
                    <w:rPr>
                      <w:rFonts w:ascii="仿宋_GB2312" w:hAnsi="仿宋_GB2312" w:cs="仿宋_GB2312" w:eastAsia="仿宋_GB2312"/>
                      <w:sz w:val="21"/>
                      <w:color w:val="000000"/>
                    </w:rPr>
                    <w:t>2台检票闸机上</w:t>
                  </w:r>
                  <w:r>
                    <w:br/>
                  </w:r>
                  <w:r>
                    <w:rPr>
                      <w:rFonts w:ascii="仿宋_GB2312" w:hAnsi="仿宋_GB2312" w:cs="仿宋_GB2312" w:eastAsia="仿宋_GB2312"/>
                      <w:sz w:val="21"/>
                      <w:color w:val="000000"/>
                    </w:rPr>
                    <w:t>1. 合规要求：设备须符合《居民身份证阅读器通用技术要求》（GA450-2013），具备公安部安全与警用电子产品质量检测中心出具的型式检验报告与专用生产资质，可合法读取、核验第二代居民身份证全部信息</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工作频率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13.56MHZ(fc)</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读卡速度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&lt;1s</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读卡距离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0-3cm</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数据接口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标配</w:t>
                  </w:r>
                  <w:r>
                    <w:rPr>
                      <w:rFonts w:ascii="仿宋_GB2312" w:hAnsi="仿宋_GB2312" w:cs="仿宋_GB2312" w:eastAsia="仿宋_GB2312"/>
                      <w:sz w:val="21"/>
                      <w:color w:val="000000"/>
                    </w:rPr>
                    <w:t>USB 数据接口≥1 路，支持扩展 USB 接口</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电源规格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5V USB供电，支持外接5V直流电源</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蜂鸣器</w:t>
                  </w:r>
                  <w:r>
                    <w:rPr>
                      <w:rFonts w:ascii="仿宋_GB2312" w:hAnsi="仿宋_GB2312" w:cs="仿宋_GB2312" w:eastAsia="仿宋_GB2312"/>
                      <w:sz w:val="21"/>
                      <w:color w:val="000000"/>
                    </w:rPr>
                    <w:t>：</w:t>
                  </w:r>
                  <w:r>
                    <w:rPr>
                      <w:rFonts w:ascii="仿宋_GB2312" w:hAnsi="仿宋_GB2312" w:cs="仿宋_GB2312" w:eastAsia="仿宋_GB2312"/>
                      <w:sz w:val="21"/>
                      <w:color w:val="000000"/>
                    </w:rPr>
                    <w:t>标配蜂鸣器提示功能，读卡成功</w:t>
                  </w:r>
                  <w:r>
                    <w:rPr>
                      <w:rFonts w:ascii="仿宋_GB2312" w:hAnsi="仿宋_GB2312" w:cs="仿宋_GB2312" w:eastAsia="仿宋_GB2312"/>
                      <w:sz w:val="21"/>
                      <w:color w:val="000000"/>
                    </w:rPr>
                    <w:t>/失败可给出不同声光提示</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系统平台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Windows全系列主流操作系统、统信UOS、麒麟等国产操作系统，兼容主流开发语言，支持二次开发，可与闸机主控系统、景区票务系统、人证核验系统无缝对接</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开发工具</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提供完整</w:t>
                  </w:r>
                  <w:r>
                    <w:rPr>
                      <w:rFonts w:ascii="仿宋_GB2312" w:hAnsi="仿宋_GB2312" w:cs="仿宋_GB2312" w:eastAsia="仿宋_GB2312"/>
                      <w:sz w:val="21"/>
                      <w:color w:val="000000"/>
                    </w:rPr>
                    <w:t>SDK 开发包（</w:t>
                  </w:r>
                  <w:r>
                    <w:rPr>
                      <w:rFonts w:ascii="仿宋_GB2312" w:hAnsi="仿宋_GB2312" w:cs="仿宋_GB2312" w:eastAsia="仿宋_GB2312"/>
                      <w:sz w:val="21"/>
                      <w:color w:val="000000"/>
                    </w:rPr>
                    <w:t>VC/VB/DELPHI/PB等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25℃～+60℃</w:t>
                  </w:r>
                  <w:r>
                    <w:rPr>
                      <w:rFonts w:ascii="仿宋_GB2312" w:hAnsi="仿宋_GB2312" w:cs="仿宋_GB2312" w:eastAsia="仿宋_GB2312"/>
                      <w:sz w:val="21"/>
                      <w:color w:val="000000"/>
                    </w:rPr>
                    <w:t>，与闸机主机环境要求一致，适配景区室内外全天候使用</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工作相对湿度</w:t>
                  </w:r>
                  <w:r>
                    <w:rPr>
                      <w:rFonts w:ascii="仿宋_GB2312" w:hAnsi="仿宋_GB2312" w:cs="仿宋_GB2312" w:eastAsia="仿宋_GB2312"/>
                      <w:sz w:val="21"/>
                      <w:color w:val="000000"/>
                    </w:rPr>
                    <w:t>：</w:t>
                  </w:r>
                  <w:r>
                    <w:rPr>
                      <w:rFonts w:ascii="仿宋_GB2312" w:hAnsi="仿宋_GB2312" w:cs="仿宋_GB2312" w:eastAsia="仿宋_GB2312"/>
                      <w:sz w:val="24"/>
                    </w:rPr>
                    <w:t>≤</w:t>
                  </w:r>
                  <w:r>
                    <w:rPr>
                      <w:rFonts w:ascii="仿宋_GB2312" w:hAnsi="仿宋_GB2312" w:cs="仿宋_GB2312" w:eastAsia="仿宋_GB2312"/>
                      <w:sz w:val="21"/>
                      <w:color w:val="000000"/>
                    </w:rPr>
                    <w:t>90%</w:t>
                  </w:r>
                  <w:r>
                    <w:rPr>
                      <w:rFonts w:ascii="仿宋_GB2312" w:hAnsi="仿宋_GB2312" w:cs="仿宋_GB2312" w:eastAsia="仿宋_GB2312"/>
                      <w:sz w:val="21"/>
                      <w:color w:val="000000"/>
                    </w:rPr>
                    <w:t>、</w:t>
                  </w:r>
                  <w:r>
                    <w:rPr>
                      <w:rFonts w:ascii="仿宋_GB2312" w:hAnsi="仿宋_GB2312" w:cs="仿宋_GB2312" w:eastAsia="仿宋_GB2312"/>
                      <w:sz w:val="21"/>
                      <w:color w:val="000000"/>
                    </w:rPr>
                    <w:t>无凝露</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储运温度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-40℃~60℃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人脸设备</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整机形态：为闸机嵌入式</w:t>
                  </w:r>
                  <w:r>
                    <w:rPr>
                      <w:rFonts w:ascii="仿宋_GB2312" w:hAnsi="仿宋_GB2312" w:cs="仿宋_GB2312" w:eastAsia="仿宋_GB2312"/>
                      <w:sz w:val="21"/>
                      <w:color w:val="000000"/>
                    </w:rPr>
                    <w:t>/一体式安装专用人脸检票设备，集成7英寸IPS工业级显示屏、人脸抓拍成像单元、人脸识别处理单元于一体，适配入口检票闸机安装使用</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 成像核心参数：采用1/2.8英寸逐行扫描CMOS图像传感器，具备星光级超低照度成像能力；最低照度≤0.01Lux@(F1.2,AGC ON)，快门速度支持1/80秒～1/100000秒可调；</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镜头参数：采用</w:t>
                  </w:r>
                  <w:r>
                    <w:rPr>
                      <w:rFonts w:ascii="仿宋_GB2312" w:hAnsi="仿宋_GB2312" w:cs="仿宋_GB2312" w:eastAsia="仿宋_GB2312"/>
                      <w:sz w:val="21"/>
                      <w:color w:val="000000"/>
                    </w:rPr>
                    <w:t>M12螺纹接口6mm定焦镜头，支持根据现场使用场景调整适配，满足1.0-3.0米识别距离的清晰成像需求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图像性能：支持日夜参数自适应、宽动态、数字降噪、自动白平衡、背光补偿功能，支持强光、逆光、弱光环境下稳定清晰成像；图片编码格式采用</w:t>
                  </w:r>
                  <w:r>
                    <w:rPr>
                      <w:rFonts w:ascii="仿宋_GB2312" w:hAnsi="仿宋_GB2312" w:cs="仿宋_GB2312" w:eastAsia="仿宋_GB2312"/>
                      <w:sz w:val="21"/>
                      <w:color w:val="000000"/>
                    </w:rPr>
                    <w:t>JPEG，支持输出1920×1080分辨率全景图、局部特写图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5.人脸识别核心性能：支持脱机动态人像识别，支持1:1、1:N识别模式；支持人脸活体检测，防范照片、视频等伪造攻击；人脸比对识别速度≤80ms，有效识别距离1.0-3.0米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人像库与存储能力：单机支持人脸库容量不低于50000张，支持单张图片、批量图片、实时抓拍图片导入；单机支持存储不低于10万张人脸特征图、3万张人脸抓拍全景图；内置不低于5GB本地存储空间，支持断网续传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7.信息识别能力：支持人脸、性别、年龄识别，支持黑名单、白名单、临时用户管理模式，支持人证比对核验功能</w:t>
                  </w:r>
                </w:p>
                <w:p>
                  <w:pPr>
                    <w:pStyle w:val="null3"/>
                    <w:jc w:val="left"/>
                  </w:pPr>
                  <w:r>
                    <w:rPr>
                      <w:rFonts w:ascii="仿宋_GB2312" w:hAnsi="仿宋_GB2312" w:cs="仿宋_GB2312" w:eastAsia="仿宋_GB2312"/>
                      <w:sz w:val="21"/>
                      <w:color w:val="000000"/>
                    </w:rPr>
                    <w:t>8.接口与协议：标配1个RJ45 10M/100M 自适应以太网口、1 路RS485通讯接口、1个USB2.0 接口；支持2路外部触发输入、2路开关量输出，可配置为韦根输入/输出，支持韦根26/34/66协议；支持2路1W扬声器音频输出、1路MIPI_DSI高清视频输出；支持ONVIF、TCP/IP、HTTP、DNS、NTP、FTP、串口通信等主流协议，支持二次开发对接</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9.供电与功耗：采用DC12V2A供电，整机功耗≤8W，可与闸机主机供电系统适配，无需额外独立强电供电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10.环境适应性：工作温度-25℃~+60℃，工作相对湿度20%~90%、无凝露，与闸机主机环境要求完全一致，适配景区室内外全天候稳定运行</w:t>
                  </w:r>
                </w:p>
                <w:p>
                  <w:pPr>
                    <w:pStyle w:val="null3"/>
                    <w:jc w:val="left"/>
                  </w:pPr>
                  <w:r>
                    <w:rPr>
                      <w:rFonts w:ascii="仿宋_GB2312" w:hAnsi="仿宋_GB2312" w:cs="仿宋_GB2312" w:eastAsia="仿宋_GB2312"/>
                      <w:sz w:val="21"/>
                      <w:color w:val="000000"/>
                    </w:rPr>
                    <w:t>11.法定合规要求：设备须符合《个人信息保护法》对敏感个人信息的处理要求，符合GB/T35678-2017《公共安全人脸识别应用图像技术要求》、GB/T 41772-2022《信息安全技术人脸识别数据安全要求》等国家相关标准</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12.通用功能：支持心跳检测、密码保护、NTP校时功能，提供完整SDK开发包，支持与景区票务系统、闸机主控系统无缝对接</w:t>
                  </w:r>
                  <w:r>
                    <w:rPr>
                      <w:rFonts w:ascii="仿宋_GB2312" w:hAnsi="仿宋_GB2312" w:cs="仿宋_GB2312" w:eastAsia="仿宋_GB2312"/>
                      <w:sz w:val="21"/>
                      <w:color w:val="000000"/>
                    </w:rPr>
                    <w:t>。</w:t>
                  </w:r>
                </w:p>
                <w:p>
                  <w:pPr>
                    <w:pStyle w:val="null3"/>
                    <w:jc w:val="left"/>
                  </w:p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手持检票终端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1.核心使用场景：适配景区入园检票处应急检票、票务核销、移动收款场景，支持支付宝、微信扫码收款，支持现金收款的票务核销与台账登记功能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2.核心硬件配置：采用不低于1.4GHz四核工业级CPU；运行Android 7.1及以上主流稳定操作系统；运行内存不低于2GB，机身存储不低于16GB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3.通讯能力：支持2.4G/5G双频 WiFi，支持4G全网通无线通讯，保障景区室内外全场景网络稳定连接</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4.打印能力：内置高速热敏打印机，打印速度不低于70mm/s；支持58mm 宽度、外径不大于40m 的标准热敏纸卷；支持蓝牙外接打印机扩展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5.显示屏：采用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5英寸IPS显示屏，分辨率不低于1400*720，户外强光下清晰可见，支持触控操作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6.扫码能力：配备工业级红外专用扫码头，支持一维码、二维码全码制快速识读；识读速度≤100ms，支持屏幕码、纸质码、褶皱破损码稳定识读，适配强光、弱光、逆光环境</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7.电池与续航：采用2580mAh@7.6V及以上工业级锂电池；满电状态下支持连续检票打印不低于8小时，待机时长不低于72小时，支持快充</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8.环境适应性：工作温度-25℃~+60℃，存储温度-40℃~+70℃，与闸机主机环境要求完全一致，适配景区室内外全天候应急使用</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9.防护与扩展：机身具备IP54及以上防护等级，防泼溅、抗摔；内置1W及以上功率喇叭，支持检票成功/失败声光提示；支持蓝牙、USB数据传输</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10.系统适配：提供完整SDK开发包，支持与景区现有票务系统、闸机管控系统无缝对接，实现票务数据实时同步、检票状态实时回传</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1.云服务器资源：采用国内主流合规云服务商提供的云服务器资源，配置不低于4核vCPU、16GB内存、500GB数据盘、50M公网带宽，满足景区票务系统稳定运行需求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2.采购与服务周期：本次采购服务周期不低于3年，服务期内包含票务系统免费更新升级、漏洞修复、系统运维保障服务；服务期满后，中标人须提供不高于本次采购单价的优惠续期方案</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3.服务保障要求：服务期内提供7×</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小时一对一专属人工运维服务，故障响应时效不超过</w:t>
                  </w:r>
                  <w:r>
                    <w:rPr>
                      <w:rFonts w:ascii="仿宋_GB2312" w:hAnsi="仿宋_GB2312" w:cs="仿宋_GB2312" w:eastAsia="仿宋_GB2312"/>
                      <w:sz w:val="21"/>
                      <w:color w:val="000000"/>
                    </w:rPr>
                    <w:t>15分钟，一般故障2小时内解决，重大故障4小时内解决；提供系统日常巡检、数据备份、安全防护服务</w:t>
                  </w:r>
                </w:p>
                <w:p>
                  <w:pPr>
                    <w:pStyle w:val="null3"/>
                    <w:jc w:val="left"/>
                  </w:pPr>
                  <w:r>
                    <w:rPr>
                      <w:rFonts w:ascii="仿宋_GB2312" w:hAnsi="仿宋_GB2312" w:cs="仿宋_GB2312" w:eastAsia="仿宋_GB2312"/>
                      <w:sz w:val="21"/>
                      <w:color w:val="000000"/>
                    </w:rPr>
                    <w:t>4.法定合规要求：云平台须通过国家网络安全等级保护三级备案与测评，符合《网络安全法》《数据安全法》《个人信息保护法》相关要求，保障景区票务数据、游客个人信息存储与传输安全</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5.系统适配：须与本次采购的闸机设备、人脸检票设备、手持检票终端完全适配，实现全设备数据实时同步、统一管控，保障检票业务全流程闭环运行</w:t>
                  </w: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三</w:t>
            </w:r>
            <w:r>
              <w:rPr>
                <w:rFonts w:ascii="仿宋_GB2312" w:hAnsi="仿宋_GB2312" w:cs="仿宋_GB2312" w:eastAsia="仿宋_GB2312"/>
                <w:b/>
              </w:rPr>
              <w:t>、其它要求</w:t>
            </w:r>
          </w:p>
          <w:tbl>
            <w:tblPr>
              <w:tblBorders>
                <w:top w:val="none" w:color="000000" w:sz="4"/>
                <w:left w:val="none" w:color="000000" w:sz="4"/>
                <w:bottom w:val="none" w:color="000000" w:sz="4"/>
                <w:right w:val="none" w:color="000000" w:sz="4"/>
                <w:insideH w:val="none"/>
                <w:insideV w:val="none"/>
              </w:tblBorders>
            </w:tblPr>
            <w:tblGrid>
              <w:gridCol w:w="142"/>
              <w:gridCol w:w="555"/>
              <w:gridCol w:w="1855"/>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w:t>
                  </w:r>
                </w:p>
              </w:tc>
              <w:tc>
                <w:tcPr>
                  <w:tcW w:type="dxa" w:w="1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具体要求</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质量保修范围和保修期</w:t>
                  </w: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（一）</w:t>
                  </w:r>
                  <w:r>
                    <w:rPr>
                      <w:rFonts w:ascii="仿宋_GB2312" w:hAnsi="仿宋_GB2312" w:cs="仿宋_GB2312" w:eastAsia="仿宋_GB2312"/>
                      <w:sz w:val="21"/>
                    </w:rPr>
                    <w:t>质量保修范围</w:t>
                  </w:r>
                </w:p>
                <w:p>
                  <w:pPr>
                    <w:pStyle w:val="null3"/>
                    <w:jc w:val="both"/>
                  </w:pPr>
                  <w:r>
                    <w:rPr>
                      <w:rFonts w:ascii="仿宋_GB2312" w:hAnsi="仿宋_GB2312" w:cs="仿宋_GB2312" w:eastAsia="仿宋_GB2312"/>
                      <w:sz w:val="21"/>
                    </w:rPr>
                    <w:t>本条款对应合同项目为</w:t>
                  </w:r>
                  <w:r>
                    <w:rPr>
                      <w:rFonts w:ascii="仿宋_GB2312" w:hAnsi="仿宋_GB2312" w:cs="仿宋_GB2312" w:eastAsia="仿宋_GB2312"/>
                      <w:sz w:val="21"/>
                    </w:rPr>
                    <w:t>“</w:t>
                  </w:r>
                  <w:r>
                    <w:rPr>
                      <w:rFonts w:ascii="仿宋_GB2312" w:hAnsi="仿宋_GB2312" w:cs="仿宋_GB2312" w:eastAsia="仿宋_GB2312"/>
                      <w:sz w:val="21"/>
                    </w:rPr>
                    <w:t>武侯墓景区导视标识系统、票务管理系统及配套软硬件采购安装项目</w:t>
                  </w:r>
                  <w:r>
                    <w:rPr>
                      <w:rFonts w:ascii="仿宋_GB2312" w:hAnsi="仿宋_GB2312" w:cs="仿宋_GB2312" w:eastAsia="仿宋_GB2312"/>
                      <w:sz w:val="21"/>
                    </w:rPr>
                    <w:t>”</w:t>
                  </w:r>
                  <w:r>
                    <w:rPr>
                      <w:rFonts w:ascii="仿宋_GB2312" w:hAnsi="仿宋_GB2312" w:cs="仿宋_GB2312" w:eastAsia="仿宋_GB2312"/>
                      <w:sz w:val="21"/>
                    </w:rPr>
                    <w:t>，质量保修范围覆盖本项目合同及预算表内全部供货、设计、制作、安装、调试服务内容，具体包括：</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标识标牌制作与安装工程：含全景导览图、电子导览图、各类景区指示牌、墙体指示引导牌、景点简介牌、警示标语牌、功能区指引牌等所有标识标牌的制作、焊接、防腐防锈处理、漆面喷涂、丝网印刷、安装固定、配套辅材及安装工程，涵盖结构安全、漆面完好、内容清晰、安装稳固等全部质量范畴。</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软件系统开发与部署：含景区票务综合管理系统及总控平台、</w:t>
                  </w:r>
                  <w:r>
                    <w:rPr>
                      <w:rFonts w:ascii="仿宋_GB2312" w:hAnsi="仿宋_GB2312" w:cs="仿宋_GB2312" w:eastAsia="仿宋_GB2312"/>
                      <w:sz w:val="21"/>
                    </w:rPr>
                    <w:t>OTA</w:t>
                  </w:r>
                  <w:r>
                    <w:rPr>
                      <w:rFonts w:ascii="仿宋_GB2312" w:hAnsi="仿宋_GB2312" w:cs="仿宋_GB2312" w:eastAsia="仿宋_GB2312"/>
                      <w:sz w:val="21"/>
                    </w:rPr>
                    <w:t>分销系统、运营统计分析系统等所有软件产品的开发、部署、调试、省市平台对接服务，涵盖系统功能完整、运行稳定、数据安全、对接通畅、无</w:t>
                  </w:r>
                  <w:r>
                    <w:rPr>
                      <w:rFonts w:ascii="仿宋_GB2312" w:hAnsi="仿宋_GB2312" w:cs="仿宋_GB2312" w:eastAsia="仿宋_GB2312"/>
                      <w:sz w:val="21"/>
                    </w:rPr>
                    <w:t>BUG</w:t>
                  </w:r>
                  <w:r>
                    <w:rPr>
                      <w:rFonts w:ascii="仿宋_GB2312" w:hAnsi="仿宋_GB2312" w:cs="仿宋_GB2312" w:eastAsia="仿宋_GB2312"/>
                      <w:sz w:val="21"/>
                    </w:rPr>
                    <w:t>漏洞等全部质量范畴。</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硬件设备采购与安装：含景区票务翼闸（单</w:t>
                  </w:r>
                  <w:r>
                    <w:rPr>
                      <w:rFonts w:ascii="仿宋_GB2312" w:hAnsi="仿宋_GB2312" w:cs="仿宋_GB2312" w:eastAsia="仿宋_GB2312"/>
                      <w:sz w:val="21"/>
                    </w:rPr>
                    <w:t>/</w:t>
                  </w:r>
                  <w:r>
                    <w:rPr>
                      <w:rFonts w:ascii="仿宋_GB2312" w:hAnsi="仿宋_GB2312" w:cs="仿宋_GB2312" w:eastAsia="仿宋_GB2312"/>
                      <w:sz w:val="21"/>
                    </w:rPr>
                    <w:t>双机芯）、闸机配套显示屏、二维码读卡器、身份证阅读器、人脸设备、服务器、售票窗口配套设备等所有硬件设备的采购、安装、布线、调试，涵盖设备原厂正品、功能完好、运行稳定、适配兼容等全部质量范畴。</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配套设计与服务：含手绘地图、</w:t>
                  </w:r>
                  <w:r>
                    <w:rPr>
                      <w:rFonts w:ascii="仿宋_GB2312" w:hAnsi="仿宋_GB2312" w:cs="仿宋_GB2312" w:eastAsia="仿宋_GB2312"/>
                      <w:sz w:val="21"/>
                    </w:rPr>
                    <w:t>logo</w:t>
                  </w:r>
                  <w:r>
                    <w:rPr>
                      <w:rFonts w:ascii="仿宋_GB2312" w:hAnsi="仿宋_GB2312" w:cs="仿宋_GB2312" w:eastAsia="仿宋_GB2312"/>
                      <w:sz w:val="21"/>
                    </w:rPr>
                    <w:t>及标识标牌设计服务等全部配套服务内容，均纳入质量保修范围。</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（二）</w:t>
                  </w:r>
                  <w:r>
                    <w:rPr>
                      <w:rFonts w:ascii="仿宋_GB2312" w:hAnsi="仿宋_GB2312" w:cs="仿宋_GB2312" w:eastAsia="仿宋_GB2312"/>
                      <w:sz w:val="21"/>
                    </w:rPr>
                    <w:t>质量保修期</w:t>
                  </w:r>
                </w:p>
                <w:p>
                  <w:pPr>
                    <w:pStyle w:val="null3"/>
                    <w:jc w:val="both"/>
                  </w:pPr>
                  <w:r>
                    <w:rPr>
                      <w:rFonts w:ascii="仿宋_GB2312" w:hAnsi="仿宋_GB2312" w:cs="仿宋_GB2312" w:eastAsia="仿宋_GB2312"/>
                      <w:sz w:val="21"/>
                    </w:rPr>
                    <w:t>本项目整体质量保修期自</w:t>
                  </w:r>
                  <w:r>
                    <w:rPr>
                      <w:rFonts w:ascii="仿宋_GB2312" w:hAnsi="仿宋_GB2312" w:cs="仿宋_GB2312" w:eastAsia="仿宋_GB2312"/>
                      <w:sz w:val="21"/>
                    </w:rPr>
                    <w:t>“</w:t>
                  </w:r>
                  <w:r>
                    <w:rPr>
                      <w:rFonts w:ascii="仿宋_GB2312" w:hAnsi="仿宋_GB2312" w:cs="仿宋_GB2312" w:eastAsia="仿宋_GB2312"/>
                      <w:sz w:val="21"/>
                    </w:rPr>
                    <w:t>项目竣工验收合格之日</w:t>
                  </w:r>
                  <w:r>
                    <w:rPr>
                      <w:rFonts w:ascii="仿宋_GB2312" w:hAnsi="仿宋_GB2312" w:cs="仿宋_GB2312" w:eastAsia="仿宋_GB2312"/>
                      <w:sz w:val="21"/>
                    </w:rPr>
                    <w:t>”</w:t>
                  </w:r>
                  <w:r>
                    <w:rPr>
                      <w:rFonts w:ascii="仿宋_GB2312" w:hAnsi="仿宋_GB2312" w:cs="仿宋_GB2312" w:eastAsia="仿宋_GB2312"/>
                      <w:sz w:val="21"/>
                    </w:rPr>
                    <w:t>起计算，各分项保修期按以下标准执行，国家相关法律法规有更长质保规定的，从其规定：</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标识标牌制作安装工程：整体质量保修期为</w:t>
                  </w:r>
                  <w:r>
                    <w:rPr>
                      <w:rFonts w:ascii="仿宋_GB2312" w:hAnsi="仿宋_GB2312" w:cs="仿宋_GB2312" w:eastAsia="仿宋_GB2312"/>
                      <w:sz w:val="21"/>
                    </w:rPr>
                    <w:t>2</w:t>
                  </w:r>
                  <w:r>
                    <w:rPr>
                      <w:rFonts w:ascii="仿宋_GB2312" w:hAnsi="仿宋_GB2312" w:cs="仿宋_GB2312" w:eastAsia="仿宋_GB2312"/>
                      <w:sz w:val="21"/>
                    </w:rPr>
                    <w:t>年。保修期内，对漆面脱落、板材锈蚀、焊接开裂、安装松动、文字图案褪色</w:t>
                  </w:r>
                  <w:r>
                    <w:rPr>
                      <w:rFonts w:ascii="仿宋_GB2312" w:hAnsi="仿宋_GB2312" w:cs="仿宋_GB2312" w:eastAsia="仿宋_GB2312"/>
                      <w:sz w:val="21"/>
                    </w:rPr>
                    <w:t>/</w:t>
                  </w:r>
                  <w:r>
                    <w:rPr>
                      <w:rFonts w:ascii="仿宋_GB2312" w:hAnsi="仿宋_GB2312" w:cs="仿宋_GB2312" w:eastAsia="仿宋_GB2312"/>
                      <w:sz w:val="21"/>
                    </w:rPr>
                    <w:t>脱落、结构变形等非人为损坏的质量问题，提供免费维修、更换及加固服务。</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硬件设备类：所有硬件设备质量保修期不低于原厂标准质保期，且整体不低于</w:t>
                  </w:r>
                  <w:r>
                    <w:rPr>
                      <w:rFonts w:ascii="仿宋_GB2312" w:hAnsi="仿宋_GB2312" w:cs="仿宋_GB2312" w:eastAsia="仿宋_GB2312"/>
                      <w:sz w:val="21"/>
                    </w:rPr>
                    <w:t>1</w:t>
                  </w:r>
                  <w:r>
                    <w:rPr>
                      <w:rFonts w:ascii="仿宋_GB2312" w:hAnsi="仿宋_GB2312" w:cs="仿宋_GB2312" w:eastAsia="仿宋_GB2312"/>
                      <w:sz w:val="21"/>
                    </w:rPr>
                    <w:t>年，其中服务器、闸机主机等核心设备质保期不低于</w:t>
                  </w:r>
                  <w:r>
                    <w:rPr>
                      <w:rFonts w:ascii="仿宋_GB2312" w:hAnsi="仿宋_GB2312" w:cs="仿宋_GB2312" w:eastAsia="仿宋_GB2312"/>
                      <w:sz w:val="21"/>
                    </w:rPr>
                    <w:t>3</w:t>
                  </w:r>
                  <w:r>
                    <w:rPr>
                      <w:rFonts w:ascii="仿宋_GB2312" w:hAnsi="仿宋_GB2312" w:cs="仿宋_GB2312" w:eastAsia="仿宋_GB2312"/>
                      <w:sz w:val="21"/>
                    </w:rPr>
                    <w:t>年。保修期内，对设备非人为损坏的故障、元器件损坏、功能失效等问题，提供免费维修、更换原厂配件及整机更换服务，确保设备正常运行。</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软件系统类：所有软件系统提供终身免费</w:t>
                  </w:r>
                  <w:r>
                    <w:rPr>
                      <w:rFonts w:ascii="仿宋_GB2312" w:hAnsi="仿宋_GB2312" w:cs="仿宋_GB2312" w:eastAsia="仿宋_GB2312"/>
                      <w:sz w:val="21"/>
                    </w:rPr>
                    <w:t>BUG</w:t>
                  </w:r>
                  <w:r>
                    <w:rPr>
                      <w:rFonts w:ascii="仿宋_GB2312" w:hAnsi="仿宋_GB2312" w:cs="仿宋_GB2312" w:eastAsia="仿宋_GB2312"/>
                      <w:sz w:val="21"/>
                    </w:rPr>
                    <w:t>修复，自竣工验收合格之日起</w:t>
                  </w:r>
                  <w:r>
                    <w:rPr>
                      <w:rFonts w:ascii="仿宋_GB2312" w:hAnsi="仿宋_GB2312" w:cs="仿宋_GB2312" w:eastAsia="仿宋_GB2312"/>
                      <w:sz w:val="21"/>
                    </w:rPr>
                    <w:t>3</w:t>
                  </w:r>
                  <w:r>
                    <w:rPr>
                      <w:rFonts w:ascii="仿宋_GB2312" w:hAnsi="仿宋_GB2312" w:cs="仿宋_GB2312" w:eastAsia="仿宋_GB2312"/>
                      <w:sz w:val="21"/>
                    </w:rPr>
                    <w:t>年内免费升级维护（含省市平台对接适配、功能优化、系统安全维护）。免费维护期内，确保系统稳定运行，对系统卡顿、功能异常、数据对接失败、安全漏洞等问题提供免费远程排查、修复及现场调试服务，免费提供系统常规更新与适配升级。</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设计服务类：本项目所含设计成果，终身提供合规版权使用保障，保修期内免费提供设计优化、尺寸调整、内容修改等配套服务。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（三）</w:t>
                  </w:r>
                  <w:r>
                    <w:rPr>
                      <w:rFonts w:ascii="仿宋_GB2312" w:hAnsi="仿宋_GB2312" w:cs="仿宋_GB2312" w:eastAsia="仿宋_GB2312"/>
                      <w:sz w:val="21"/>
                    </w:rPr>
                    <w:t>保修责任与要求</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保修期内，乙方接到甲方报修通知后，须</w:t>
                  </w:r>
                  <w:r>
                    <w:rPr>
                      <w:rFonts w:ascii="仿宋_GB2312" w:hAnsi="仿宋_GB2312" w:cs="仿宋_GB2312" w:eastAsia="仿宋_GB2312"/>
                      <w:sz w:val="21"/>
                    </w:rPr>
                    <w:t>2</w:t>
                  </w:r>
                  <w:r>
                    <w:rPr>
                      <w:rFonts w:ascii="仿宋_GB2312" w:hAnsi="仿宋_GB2312" w:cs="仿宋_GB2312" w:eastAsia="仿宋_GB2312"/>
                      <w:sz w:val="21"/>
                    </w:rPr>
                    <w:t>小时内响应，一般故障</w:t>
                  </w:r>
                  <w:r>
                    <w:rPr>
                      <w:rFonts w:ascii="仿宋_GB2312" w:hAnsi="仿宋_GB2312" w:cs="仿宋_GB2312" w:eastAsia="仿宋_GB2312"/>
                      <w:sz w:val="21"/>
                    </w:rPr>
                    <w:t>24</w:t>
                  </w:r>
                  <w:r>
                    <w:rPr>
                      <w:rFonts w:ascii="仿宋_GB2312" w:hAnsi="仿宋_GB2312" w:cs="仿宋_GB2312" w:eastAsia="仿宋_GB2312"/>
                      <w:sz w:val="21"/>
                    </w:rPr>
                    <w:t>小时内完成修复，重大故障</w:t>
                  </w:r>
                  <w:r>
                    <w:rPr>
                      <w:rFonts w:ascii="仿宋_GB2312" w:hAnsi="仿宋_GB2312" w:cs="仿宋_GB2312" w:eastAsia="仿宋_GB2312"/>
                      <w:sz w:val="21"/>
                    </w:rPr>
                    <w:t>48</w:t>
                  </w:r>
                  <w:r>
                    <w:rPr>
                      <w:rFonts w:ascii="仿宋_GB2312" w:hAnsi="仿宋_GB2312" w:cs="仿宋_GB2312" w:eastAsia="仿宋_GB2312"/>
                      <w:sz w:val="21"/>
                    </w:rPr>
                    <w:t>小时内到场完成修复；无法及时修复的，须提供备用设备</w:t>
                  </w:r>
                  <w:r>
                    <w:rPr>
                      <w:rFonts w:ascii="仿宋_GB2312" w:hAnsi="仿宋_GB2312" w:cs="仿宋_GB2312" w:eastAsia="仿宋_GB2312"/>
                      <w:sz w:val="21"/>
                    </w:rPr>
                    <w:t>/</w:t>
                  </w:r>
                  <w:r>
                    <w:rPr>
                      <w:rFonts w:ascii="仿宋_GB2312" w:hAnsi="仿宋_GB2312" w:cs="仿宋_GB2312" w:eastAsia="仿宋_GB2312"/>
                      <w:sz w:val="21"/>
                    </w:rPr>
                    <w:t>替代方案，保障景区正常运营不受影响。</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保修期内，因甲方人为损坏、不可抗力造成的设备或设施损坏，乙方可提供维修更换服务，仅收取材料成本费，不得额外收取服务费。</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保修期届满后，乙方须为本项目提供终身成本价维护服务，不得拒绝提供维修、升级等技术支持。</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报价</w:t>
                  </w:r>
                </w:p>
              </w:tc>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以上采购内容的报价应包含所有产品及服务的购买、安装、人工费、管理费、税金等全部费用</w:t>
                  </w:r>
                </w:p>
              </w:tc>
            </w:tr>
          </w:tbl>
          <w:p>
            <w:pPr>
              <w:pStyle w:val="null3"/>
            </w:pPr>
            <w:r>
              <w:rPr>
                <w:rFonts w:ascii="仿宋_GB2312" w:hAnsi="仿宋_GB2312" w:cs="仿宋_GB2312" w:eastAsia="仿宋_GB2312"/>
              </w:rPr>
              <w:t xml:space="preserve"> </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按项目需要自行配置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按响应文件和合同约定。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全部安装完成，初验合格</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整体竣工验收合格、质保起算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合同法》、《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合同执行中发生争议的，当事人双方应协商解决，协商达不成一致时，可向当地行政仲裁机关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中标供应商领取中标（成交）通知书时，向采购代理机构提供一正两副纸质投标文件及电子版1份（须包含：签字盖章扫描PDF和word文档格式、投标预算书，U盘存储）。 2.供应商应自协商文件递交截止时间起至开标结束，保持在线状态。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汉中市政府采购投标人资格承诺函.docx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汉中市政府采购投标人资格承诺函.docx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汉中市政府采购投标人资格承诺函.docx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服务应全部由符合政策要求的中型、小型、微型企业或监狱企业或残疾人福利性单位承接。供应商为中型、小型、微型企业的，提供《中小企业声明函》，且中小企业的划分标准所属行业为其他未列明行业；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残疾人福利性单位声明函 中小企业声明函（服务格式）.docx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授权委托书1.docx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w:t>
            </w:r>
          </w:p>
        </w:tc>
        <w:tc>
          <w:tcPr>
            <w:tcW w:type="dxa" w:w="1661"/>
          </w:tcPr>
          <w:p>
            <w:pPr>
              <w:pStyle w:val="null3"/>
            </w:pPr>
            <w:r>
              <w:rPr>
                <w:rFonts w:ascii="仿宋_GB2312" w:hAnsi="仿宋_GB2312" w:cs="仿宋_GB2312" w:eastAsia="仿宋_GB2312"/>
              </w:rPr>
              <w:t>汉中市政府采购投标人资格承诺函.docx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联合体响应及分包</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其它需要响应的内容</w:t>
            </w:r>
          </w:p>
        </w:tc>
        <w:tc>
          <w:tcPr>
            <w:tcW w:type="dxa" w:w="3322"/>
          </w:tcPr>
          <w:p>
            <w:pPr>
              <w:pStyle w:val="null3"/>
            </w:pPr>
            <w:r>
              <w:rPr>
                <w:rFonts w:ascii="仿宋_GB2312" w:hAnsi="仿宋_GB2312" w:cs="仿宋_GB2312" w:eastAsia="仿宋_GB2312"/>
              </w:rPr>
              <w:t>1、磋商响应文件应按照磋商文件规定要求签署、盖章；2、须满足本磋商文件中“服务期限、服务地点、支付方式、支付约定、质量保修范围和保修期”的实质性条款要求； 3、文件有效期符合磋商文件要求； 4、磋商报价同时满足以下条款：（1）磋商报价符合唯一性要求；（2）第一次磋商报价表填写符合要求；（3）计量单位、报价货币均符合磋商文件要求；（4）磋商报价未超出采购预算或磋商文件规定的最高限价。 5、法律、法规和磋商文件规定的其他无效情形。</w:t>
            </w:r>
          </w:p>
        </w:tc>
        <w:tc>
          <w:tcPr>
            <w:tcW w:type="dxa" w:w="1661"/>
          </w:tcPr>
          <w:p>
            <w:pPr>
              <w:pStyle w:val="null3"/>
            </w:pPr>
            <w:r>
              <w:rPr>
                <w:rFonts w:ascii="仿宋_GB2312" w:hAnsi="仿宋_GB2312" w:cs="仿宋_GB2312" w:eastAsia="仿宋_GB2312"/>
              </w:rPr>
              <w:t>非联合体不分包投标声明1.docx 服务内容及服务邀请应答表 商务应答表 中小企业声明函（服务格式）.docx 报价表 汉中市政府采购投标人资格承诺函.docx 响应文件封面 授权委托书1.docx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采购需求编制技术方案。对各供应商编制的技术方案中对该项目实施组织方案及实施方法的描述，是否先进合理，是否清晰理解工程重点难点、关键技术是否把握准确，是否能根据项目延续性对方案进行合理优化，综合评审：[13-20分]：方案先进、合理、清晰、把握准确；[7-12分]：方案基本先进、合理、清晰、把握基本准确；[0-6分]：方案先进性、合理性、清晰程度、把握准确度不足。</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进度计划和保证措施</w:t>
            </w:r>
          </w:p>
        </w:tc>
        <w:tc>
          <w:tcPr>
            <w:tcW w:type="dxa" w:w="2492"/>
          </w:tcPr>
          <w:p>
            <w:pPr>
              <w:pStyle w:val="null3"/>
            </w:pPr>
            <w:r>
              <w:rPr>
                <w:rFonts w:ascii="仿宋_GB2312" w:hAnsi="仿宋_GB2312" w:cs="仿宋_GB2312" w:eastAsia="仿宋_GB2312"/>
              </w:rPr>
              <w:t>根据本项目采购需求制定进度计划和保证措施。对各供应商制定的进度计划是否符合要求，从关键路径的准确、清晰，逻辑关系、措施是否有效保证计划实施等综合评审： [11-15分]：措施能够优化项目要求、清晰、准确、有效保证计划实施； [6-10分]：措施基本符合项目要求、比较清晰、准确、有效； [0-5分]：措施不能保证项目要求、不够清晰、准确、有效。</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质量保证体系与措施</w:t>
            </w:r>
          </w:p>
        </w:tc>
        <w:tc>
          <w:tcPr>
            <w:tcW w:type="dxa" w:w="2492"/>
          </w:tcPr>
          <w:p>
            <w:pPr>
              <w:pStyle w:val="null3"/>
            </w:pPr>
            <w:r>
              <w:rPr>
                <w:rFonts w:ascii="仿宋_GB2312" w:hAnsi="仿宋_GB2312" w:cs="仿宋_GB2312" w:eastAsia="仿宋_GB2312"/>
              </w:rPr>
              <w:t>1、完全满足采购人质量保修范围和保修期要求，得5分，未完全满足要求或不能满足不得分； 2、根据本项目采购需求制定质量保证体系与措施。对各供应商制定的质量管理措施是否完整，职责是否分明；材料采购、过程控制及检验、分项措施针对性是否合理等指标综合评审： [7-10分]：措施完整、职责分明、过程控制措施合理性高； [4-6分]：措施基本完整、职责基本分明、过程控制措施合理性基本满足； [0-3分]：措施不够完整、职责不够分明、过程控制措施合理性不足。</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根据本项目采购需求制定确保安全生产的技术组织措施综合评审： [7-10分]：各供应商制定的措施描述无缺漏详细具体； [4-6分]：描述无缺漏但不详尽； [0-3分]：描述有缺漏且不详尽。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供应商成立不少于5人的售后服务团队，制定详细的售后及运维服务方案，包括售后服务承诺、服务期限、服务内容、服务方式、响应时间等方面考量： [7-10分]：方案内容合理完整、准确、详尽； [4-6分]：方案内容基本合理完整、准确、详尽； [0-3分]：方案内容不够合理完整、准确、详尽程度不足。</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制定项目保障能力、应急保障措施。根据响应程度进行评分： [7-10分]：措施内容合理完整、准确、高效； [4-6分]：措施内容基本合理完整、准确、高效； [0-3分]：措施内容不够合理完整、准确、不高效。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1、满足招标文件要求且报价最低的投标报价为评标基准价，其价格分为满分。其他投标人的价格分统一按照下列公式计算：报价得分=(评标基准价／基础报价费率)×100%×20； 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详见附件：授权委托书1.docx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详见附件：汉中市政府采购投标人资格承诺函.docx</w:t>
      </w:r>
    </w:p>
    <w:p>
      <w:pPr>
        <w:pStyle w:val="null3"/>
        <w:ind w:firstLine="960"/>
      </w:pPr>
      <w:r>
        <w:rPr>
          <w:rFonts w:ascii="仿宋_GB2312" w:hAnsi="仿宋_GB2312" w:cs="仿宋_GB2312" w:eastAsia="仿宋_GB2312"/>
        </w:rPr>
        <w:t>详见附件：非联合体不分包投标声明1.docx</w:t>
      </w:r>
    </w:p>
    <w:p>
      <w:pPr>
        <w:pStyle w:val="null3"/>
        <w:ind w:firstLine="960"/>
      </w:pPr>
      <w:r>
        <w:rPr>
          <w:rFonts w:ascii="仿宋_GB2312" w:hAnsi="仿宋_GB2312" w:cs="仿宋_GB2312" w:eastAsia="仿宋_GB2312"/>
        </w:rPr>
        <w:t>详见附件：中小企业声明函（服务格式）.docx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