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DCF6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供应商应提交的相关资格证明材料</w:t>
      </w:r>
    </w:p>
    <w:p w14:paraId="57EFADD9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（供应商根据磋商文件要求提交相关材料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）</w:t>
      </w:r>
    </w:p>
    <w:p w14:paraId="528D1F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3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2026-04-23T07:27:18Z</dcterms:created>
  <dc:creator>Administrator</dc:creator>
  <cp:lastModifiedBy>沈小琳</cp:lastModifiedBy>
  <dcterms:modified xsi:type="dcterms:W3CDTF">2026-04-23T07:28:24Z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eyJoZGlkIjoiMDAwNjU1NWZiMDNmNjAwM2Y5ZDkwYjllNTBkYWQzNmQiLCJ1c2VySWQiOiIxMjg5MjE0NjE0In0=</vt:lpwstr>
  </property>
  <property fmtid="{D5CDD505-2E9C-101B-9397-08002B2CF9AE}" pid="4" name="ICV">
    <vt:lpwstr>E2E38E35D9A94137939705E8AC8DE88E_12</vt:lpwstr>
  </property>
</Properties>
</file>