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版本号：SCZD2026-CS-0625-00120260319001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智慧医院建设项目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SCZD2026-CS-0625-001</w:t>
      </w:r>
      <w:r>
        <w:br/>
      </w:r>
      <w:r>
        <w:br/>
      </w:r>
      <w:r>
        <w:br/>
      </w:r>
    </w:p>
    <w:p>
      <w:pPr>
        <w:pStyle w:val="null3"/>
        <w:jc w:val="center"/>
        <w:outlineLvl w:val="2"/>
      </w:pPr>
      <w:r>
        <w:rPr>
          <w:rFonts w:ascii="仿宋_GB2312" w:hAnsi="仿宋_GB2312" w:cs="仿宋_GB2312" w:eastAsia="仿宋_GB2312"/>
          <w:sz w:val="28"/>
          <w:b/>
        </w:rPr>
        <w:t>勉县妇幼保健院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勉县妇幼保健院</w:t>
      </w:r>
      <w:r>
        <w:rPr>
          <w:rFonts w:ascii="仿宋_GB2312" w:hAnsi="仿宋_GB2312" w:cs="仿宋_GB2312" w:eastAsia="仿宋_GB2312"/>
        </w:rPr>
        <w:t>委托，拟对</w:t>
      </w:r>
      <w:r>
        <w:rPr>
          <w:rFonts w:ascii="仿宋_GB2312" w:hAnsi="仿宋_GB2312" w:cs="仿宋_GB2312" w:eastAsia="仿宋_GB2312"/>
        </w:rPr>
        <w:t>智慧医院建设项目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SCZD2026-CS-0625-001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智慧医院建设项目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通过建设智慧医院建设项目，提升医院信息化水平和服务效率，优化患者就医体验，实现医院资源的高效管理和利用。需满足的要求:提升医院信息化水平和服务效率，优化患者就医体验，实现医院资源的高效管理和利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1、特定资格要求：1供应商合法注册的法人或其他组织的营业执照等证明文件； 2供应商参加本项目的合法授权人授权委托书；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 3供应商在递交响应文件截止时间前被“信用中国”网站（www.creditchina.gov.cn）和中国政府采购网（www.ccgp.gov.cn）上被列入失信被执行人、重大税收违法失信主体、政府采购严重违法失信行为记录名单的，不得参加磋商；4提供盖章的《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勉县妇幼保健院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和平路东段708号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勉县妇幼保健院经办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0916-3212675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梁静怡、雷鹏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银行账号：102461558467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勉县妇幼保健院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勉县妇幼保健院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详见拟签订采购合同文本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通过建设智慧医院建设项目，提升医院信息化水平和服务效率，优化患者就医体验，实现医院资源的高效管理和利用。需满足的要求:提升医院信息化水平和服务效率，优化患者就医体验，实现医院资源的高效管理和利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智慧医院建设服务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标的名称：智慧医院建设服务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①项目名称：勉县妇幼保健院智慧医院建设项目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②采购需求</w:t>
            </w:r>
          </w:p>
          <w:p>
            <w:pPr>
              <w:pStyle w:val="null3"/>
              <w:jc w:val="left"/>
            </w:pPr>
            <w:r>
              <w:rPr>
                <w:rFonts w:ascii="仿宋_GB2312" w:hAnsi="仿宋_GB2312" w:cs="仿宋_GB2312" w:eastAsia="仿宋_GB2312"/>
                <w:sz w:val="24"/>
                <w:b/>
              </w:rPr>
              <w:t>采购清单</w:t>
            </w:r>
          </w:p>
          <w:tbl>
            <w:tblPr>
              <w:tblInd w:type="dxa" w:w="135"/>
              <w:tblBorders>
                <w:top w:val="none" w:color="000000" w:sz="4"/>
                <w:left w:val="none" w:color="000000" w:sz="4"/>
                <w:bottom w:val="none" w:color="000000" w:sz="4"/>
                <w:right w:val="none" w:color="000000" w:sz="4"/>
                <w:insideH w:val="none"/>
                <w:insideV w:val="none"/>
              </w:tblBorders>
            </w:tblPr>
            <w:tblGrid>
              <w:gridCol w:w="316"/>
              <w:gridCol w:w="1512"/>
              <w:gridCol w:w="540"/>
              <w:gridCol w:w="815"/>
            </w:tblGrid>
            <w:tr>
              <w:tc>
                <w:tcPr>
                  <w:tcW w:type="dxa" w:w="316"/>
                  <w:tcBorders>
                    <w:top w:val="outset" w:color="000000" w:sz="4"/>
                    <w:left w:val="outset" w:color="000000" w:sz="4"/>
                    <w:bottom w:val="outset" w:color="000000" w:sz="4"/>
                    <w:right w:val="outset" w:color="000000" w:sz="4"/>
                  </w:tcBorders>
                  <w:shd w:fill="D6E3BC"/>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1512"/>
                  <w:tcBorders>
                    <w:top w:val="outset" w:color="000000" w:sz="4"/>
                    <w:left w:val="none" w:color="000000" w:sz="4"/>
                    <w:bottom w:val="outset" w:color="000000" w:sz="4"/>
                    <w:right w:val="outset" w:color="000000" w:sz="4"/>
                  </w:tcBorders>
                  <w:shd w:fill="D6E3BC"/>
                  <w:tcMar>
                    <w:top w:type="dxa" w:w="0"/>
                    <w:left w:type="dxa" w:w="0"/>
                    <w:bottom w:type="dxa" w:w="0"/>
                    <w:right w:type="dxa" w:w="0"/>
                  </w:tcMar>
                  <w:vAlign w:val="top"/>
                </w:tcPr>
                <w:p>
                  <w:pPr>
                    <w:pStyle w:val="null3"/>
                    <w:jc w:val="center"/>
                  </w:pPr>
                  <w:r>
                    <w:rPr>
                      <w:rFonts w:ascii="仿宋_GB2312" w:hAnsi="仿宋_GB2312" w:cs="仿宋_GB2312" w:eastAsia="仿宋_GB2312"/>
                      <w:sz w:val="21"/>
                      <w:b/>
                    </w:rPr>
                    <w:t>项目名称</w:t>
                  </w:r>
                </w:p>
              </w:tc>
              <w:tc>
                <w:tcPr>
                  <w:tcW w:type="dxa" w:w="540"/>
                  <w:tcBorders>
                    <w:top w:val="outset" w:color="000000" w:sz="4"/>
                    <w:left w:val="none" w:color="000000" w:sz="4"/>
                    <w:bottom w:val="outset" w:color="000000" w:sz="4"/>
                    <w:right w:val="outset" w:color="000000" w:sz="4"/>
                  </w:tcBorders>
                  <w:shd w:fill="D6E3BC"/>
                  <w:tcMar>
                    <w:top w:type="dxa" w:w="0"/>
                    <w:left w:type="dxa" w:w="0"/>
                    <w:bottom w:type="dxa" w:w="0"/>
                    <w:right w:type="dxa" w:w="0"/>
                  </w:tcMar>
                  <w:vAlign w:val="top"/>
                </w:tcPr>
                <w:p>
                  <w:pPr>
                    <w:pStyle w:val="null3"/>
                    <w:jc w:val="center"/>
                  </w:pPr>
                  <w:r>
                    <w:rPr>
                      <w:rFonts w:ascii="仿宋_GB2312" w:hAnsi="仿宋_GB2312" w:cs="仿宋_GB2312" w:eastAsia="仿宋_GB2312"/>
                      <w:sz w:val="21"/>
                      <w:b/>
                    </w:rPr>
                    <w:t>数量</w:t>
                  </w:r>
                </w:p>
              </w:tc>
              <w:tc>
                <w:tcPr>
                  <w:tcW w:type="dxa" w:w="815"/>
                  <w:tcBorders>
                    <w:top w:val="outset" w:color="000000" w:sz="4"/>
                    <w:left w:val="none" w:color="000000" w:sz="4"/>
                    <w:bottom w:val="outset" w:color="000000" w:sz="4"/>
                    <w:right w:val="outset" w:color="000000" w:sz="4"/>
                  </w:tcBorders>
                  <w:shd w:fill="D6E3BC"/>
                  <w:tcMar>
                    <w:top w:type="dxa" w:w="0"/>
                    <w:left w:type="dxa" w:w="0"/>
                    <w:bottom w:type="dxa" w:w="0"/>
                    <w:right w:type="dxa" w:w="0"/>
                  </w:tcMar>
                  <w:vAlign w:val="top"/>
                </w:tcPr>
                <w:p>
                  <w:pPr>
                    <w:pStyle w:val="null3"/>
                    <w:jc w:val="center"/>
                  </w:pPr>
                  <w:r>
                    <w:rPr>
                      <w:rFonts w:ascii="仿宋_GB2312" w:hAnsi="仿宋_GB2312" w:cs="仿宋_GB2312" w:eastAsia="仿宋_GB2312"/>
                      <w:sz w:val="21"/>
                      <w:b/>
                    </w:rPr>
                    <w:t>预算</w:t>
                  </w:r>
                </w:p>
              </w:tc>
            </w:tr>
            <w:tr>
              <w:tc>
                <w:tcPr>
                  <w:tcW w:type="dxa" w:w="316"/>
                  <w:tcBorders>
                    <w:top w:val="none" w:color="000000" w:sz="4"/>
                    <w:left w:val="outset"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1512"/>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掌上就医医院全流程服务平台</w:t>
                  </w:r>
                  <w:r>
                    <w:rPr>
                      <w:rFonts w:ascii="仿宋_GB2312" w:hAnsi="仿宋_GB2312" w:cs="仿宋_GB2312" w:eastAsia="仿宋_GB2312"/>
                      <w:sz w:val="21"/>
                      <w:b/>
                    </w:rPr>
                    <w:t>（核心产品）</w:t>
                  </w:r>
                </w:p>
              </w:tc>
              <w:tc>
                <w:tcPr>
                  <w:tcW w:type="dxa" w:w="540"/>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815"/>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p>
              </w:tc>
            </w:tr>
            <w:tr>
              <w:tc>
                <w:tcPr>
                  <w:tcW w:type="dxa" w:w="316"/>
                  <w:tcBorders>
                    <w:top w:val="none" w:color="000000" w:sz="4"/>
                    <w:left w:val="outset"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1512"/>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诊间支付系统</w:t>
                  </w:r>
                </w:p>
              </w:tc>
              <w:tc>
                <w:tcPr>
                  <w:tcW w:type="dxa" w:w="540"/>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815"/>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p>
              </w:tc>
            </w:tr>
            <w:tr>
              <w:tc>
                <w:tcPr>
                  <w:tcW w:type="dxa" w:w="316"/>
                  <w:tcBorders>
                    <w:top w:val="none" w:color="000000" w:sz="4"/>
                    <w:left w:val="outset"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1512"/>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国标医保</w:t>
                  </w:r>
                  <w:r>
                    <w:rPr>
                      <w:rFonts w:ascii="仿宋_GB2312" w:hAnsi="仿宋_GB2312" w:cs="仿宋_GB2312" w:eastAsia="仿宋_GB2312"/>
                      <w:sz w:val="21"/>
                    </w:rPr>
                    <w:t>2.0</w:t>
                  </w:r>
                  <w:r>
                    <w:rPr>
                      <w:rFonts w:ascii="仿宋_GB2312" w:hAnsi="仿宋_GB2312" w:cs="仿宋_GB2312" w:eastAsia="仿宋_GB2312"/>
                      <w:sz w:val="21"/>
                    </w:rPr>
                    <w:t>结算</w:t>
                  </w:r>
                </w:p>
              </w:tc>
              <w:tc>
                <w:tcPr>
                  <w:tcW w:type="dxa" w:w="540"/>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815"/>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p>
              </w:tc>
            </w:tr>
            <w:tr>
              <w:tc>
                <w:tcPr>
                  <w:tcW w:type="dxa" w:w="316"/>
                  <w:tcBorders>
                    <w:top w:val="none" w:color="000000" w:sz="4"/>
                    <w:left w:val="outset"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1512"/>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对账平台管理系统</w:t>
                  </w:r>
                </w:p>
              </w:tc>
              <w:tc>
                <w:tcPr>
                  <w:tcW w:type="dxa" w:w="540"/>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815"/>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p>
              </w:tc>
            </w:tr>
            <w:tr>
              <w:tc>
                <w:tcPr>
                  <w:tcW w:type="dxa" w:w="316"/>
                  <w:tcBorders>
                    <w:top w:val="none" w:color="000000" w:sz="4"/>
                    <w:left w:val="outset"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1512"/>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智慧医疗服务</w:t>
                  </w:r>
                  <w:r>
                    <w:rPr>
                      <w:rFonts w:ascii="仿宋_GB2312" w:hAnsi="仿宋_GB2312" w:cs="仿宋_GB2312" w:eastAsia="仿宋_GB2312"/>
                      <w:sz w:val="21"/>
                    </w:rPr>
                    <w:t>系统硬件</w:t>
                  </w:r>
                  <w:r>
                    <w:rPr>
                      <w:rFonts w:ascii="仿宋_GB2312" w:hAnsi="仿宋_GB2312" w:cs="仿宋_GB2312" w:eastAsia="仿宋_GB2312"/>
                      <w:sz w:val="21"/>
                    </w:rPr>
                    <w:t>清单</w:t>
                  </w:r>
                </w:p>
              </w:tc>
              <w:tc>
                <w:tcPr>
                  <w:tcW w:type="dxa" w:w="540"/>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项</w:t>
                  </w:r>
                </w:p>
              </w:tc>
              <w:tc>
                <w:tcPr>
                  <w:tcW w:type="dxa" w:w="815"/>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p>
              </w:tc>
            </w:tr>
            <w:tr>
              <w:tc>
                <w:tcPr>
                  <w:tcW w:type="dxa" w:w="316"/>
                  <w:tcBorders>
                    <w:top w:val="none" w:color="000000" w:sz="4"/>
                    <w:left w:val="outset"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1512"/>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自助机服务软件</w:t>
                  </w:r>
                </w:p>
              </w:tc>
              <w:tc>
                <w:tcPr>
                  <w:tcW w:type="dxa" w:w="540"/>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815"/>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p>
              </w:tc>
            </w:tr>
            <w:tr>
              <w:tc>
                <w:tcPr>
                  <w:tcW w:type="dxa" w:w="316"/>
                  <w:tcBorders>
                    <w:top w:val="none" w:color="000000" w:sz="4"/>
                    <w:left w:val="outset"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1512"/>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线下缴费系统及电子发票功能清单</w:t>
                  </w:r>
                </w:p>
              </w:tc>
              <w:tc>
                <w:tcPr>
                  <w:tcW w:type="dxa" w:w="540"/>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815"/>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p>
              </w:tc>
            </w:tr>
            <w:tr>
              <w:tc>
                <w:tcPr>
                  <w:tcW w:type="dxa" w:w="316"/>
                  <w:tcBorders>
                    <w:top w:val="none" w:color="000000" w:sz="4"/>
                    <w:left w:val="outset"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1512"/>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第三方接口对接</w:t>
                  </w:r>
                </w:p>
              </w:tc>
              <w:tc>
                <w:tcPr>
                  <w:tcW w:type="dxa" w:w="540"/>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项</w:t>
                  </w:r>
                </w:p>
              </w:tc>
              <w:tc>
                <w:tcPr>
                  <w:tcW w:type="dxa" w:w="815"/>
                  <w:tcBorders>
                    <w:top w:val="none" w:color="000000" w:sz="4"/>
                    <w:left w:val="none" w:color="000000" w:sz="4"/>
                    <w:bottom w:val="outset" w:color="000000" w:sz="4"/>
                    <w:right w:val="outset" w:color="000000" w:sz="4"/>
                  </w:tcBorders>
                  <w:shd w:fill="FFFFFF"/>
                  <w:tcMar>
                    <w:top w:type="dxa" w:w="0"/>
                    <w:left w:type="dxa" w:w="0"/>
                    <w:bottom w:type="dxa" w:w="0"/>
                    <w:right w:type="dxa" w:w="0"/>
                  </w:tcMar>
                  <w:vAlign w:val="top"/>
                </w:tcPr>
                <w:p>
                  <w:pPr>
                    <w:pStyle w:val="null3"/>
                    <w:jc w:val="center"/>
                  </w:p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③技术参数</w:t>
            </w:r>
            <w:r>
              <w:br/>
            </w:r>
            <w:r>
              <w:rPr>
                <w:rFonts w:ascii="仿宋_GB2312" w:hAnsi="仿宋_GB2312" w:cs="仿宋_GB2312" w:eastAsia="仿宋_GB2312"/>
              </w:rPr>
              <w:t xml:space="preserve"> 一、掌上就医医院全流程服务平台</w:t>
            </w:r>
            <w:r>
              <w:rPr>
                <w:rFonts w:ascii="仿宋_GB2312" w:hAnsi="仿宋_GB2312" w:cs="仿宋_GB2312" w:eastAsia="仿宋_GB2312"/>
                <w:b/>
              </w:rPr>
              <w:t>（核心产品）</w:t>
            </w:r>
            <w:r>
              <w:br/>
            </w:r>
            <w:r>
              <w:rPr>
                <w:rFonts w:ascii="仿宋_GB2312" w:hAnsi="仿宋_GB2312" w:cs="仿宋_GB2312" w:eastAsia="仿宋_GB2312"/>
              </w:rPr>
              <w:t xml:space="preserve"> 1.医院信息展示：支持医院基本信息、科室介绍、专家信息展示；提供院内楼群分布导航，及基于地图 API 的来院定位与交通路线规划。</w:t>
            </w:r>
            <w:r>
              <w:br/>
            </w:r>
            <w:r>
              <w:rPr>
                <w:rFonts w:ascii="仿宋_GB2312" w:hAnsi="仿宋_GB2312" w:cs="仿宋_GB2312" w:eastAsia="仿宋_GB2312"/>
              </w:rPr>
              <w:t xml:space="preserve"> 2.挂号取号管理：支持当天 / 预约挂号，含科室挂号、医生姓名搜索，预约挂号支持指定日期选择；支持微信支付挂号费、在线取消预约挂号，挂号 / 取号成功后自动推送消息通知；支持线上微信支付完成取号。</w:t>
            </w:r>
            <w:r>
              <w:br/>
            </w:r>
            <w:r>
              <w:rPr>
                <w:rFonts w:ascii="仿宋_GB2312" w:hAnsi="仿宋_GB2312" w:cs="仿宋_GB2312" w:eastAsia="仿宋_GB2312"/>
              </w:rPr>
              <w:t xml:space="preserve"> 3.费用支付管理：支持处方单扫码支付、待缴费订单在线支付，提供待缴费用查询及明细查看；推送待缴费、缴费成功提醒，自动生成缴费清单；符合条件的门诊费用支持线上原路退费，可按支付订单查询电子票据；打印纸质发票或部分退费支持线下前台办理。</w:t>
            </w:r>
            <w:r>
              <w:br/>
            </w:r>
            <w:r>
              <w:rPr>
                <w:rFonts w:ascii="仿宋_GB2312" w:hAnsi="仿宋_GB2312" w:cs="仿宋_GB2312" w:eastAsia="仿宋_GB2312"/>
              </w:rPr>
              <w:t xml:space="preserve"> 4.检查检验报告：检查检验预约提前 24 小时提醒并推送注意事项，报告出具后实时消息提醒；支持在线查询门诊、住院的检查、检验报告。</w:t>
            </w:r>
            <w:r>
              <w:br/>
            </w:r>
            <w:r>
              <w:rPr>
                <w:rFonts w:ascii="仿宋_GB2312" w:hAnsi="仿宋_GB2312" w:cs="仿宋_GB2312" w:eastAsia="仿宋_GB2312"/>
              </w:rPr>
              <w:t xml:space="preserve"> 5.住院服务管理：支持微信支付住院预缴金，在线查询住院一日清单；住院检查检验报告出具后推送提醒，支持在线查询。</w:t>
            </w:r>
            <w:r>
              <w:br/>
            </w:r>
            <w:r>
              <w:rPr>
                <w:rFonts w:ascii="仿宋_GB2312" w:hAnsi="仿宋_GB2312" w:cs="仿宋_GB2312" w:eastAsia="仿宋_GB2312"/>
              </w:rPr>
              <w:t xml:space="preserve"> 6.医保服务管理：支持医保身份实名认证、社保卡绑定及实名一致性校验；医保个账支付支持医保处方筛选、预结算 / 直接结算、处方费混合支付，可按规则取消结算；医保退费支持线上自主及线下人工办理，款项原路返回；支持社保卡余额、消费记录在线查询。</w:t>
            </w:r>
            <w:r>
              <w:br/>
            </w:r>
            <w:r>
              <w:rPr>
                <w:rFonts w:ascii="仿宋_GB2312" w:hAnsi="仿宋_GB2312" w:cs="仿宋_GB2312" w:eastAsia="仿宋_GB2312"/>
              </w:rPr>
              <w:t xml:space="preserve"> 7.消息提醒：支持就诊、待缴费、报告发布、医生停诊提醒，支持个性化消息模板开发及多场景推送。</w:t>
            </w:r>
            <w:r>
              <w:br/>
            </w:r>
            <w:r>
              <w:rPr>
                <w:rFonts w:ascii="仿宋_GB2312" w:hAnsi="仿宋_GB2312" w:cs="仿宋_GB2312" w:eastAsia="仿宋_GB2312"/>
              </w:rPr>
              <w:t xml:space="preserve"> 8.电子健康卡：对接国家电子健康卡平台，实现实名认证、身份绑定及院内 HIS 在线建档；支持电子健康卡添加至微信卡包，支持扫码枪扫描识别就诊。</w:t>
            </w:r>
            <w:r>
              <w:br/>
            </w:r>
            <w:r>
              <w:rPr>
                <w:rFonts w:ascii="仿宋_GB2312" w:hAnsi="仿宋_GB2312" w:cs="仿宋_GB2312" w:eastAsia="仿宋_GB2312"/>
              </w:rPr>
              <w:t xml:space="preserve"> 9.个人中心管理：支持查看绑定就诊人信息，查询缴费、挂号记录；展示患者基本诊疗档案，支持调阅挂号、缴费、处方、病历等临床诊疗信息；支持检验 / 检查申请单及结果查询，检查信息支持影像图片调阅。</w:t>
            </w:r>
            <w:r>
              <w:br/>
            </w:r>
            <w:r>
              <w:rPr>
                <w:rFonts w:ascii="仿宋_GB2312" w:hAnsi="仿宋_GB2312" w:cs="仿宋_GB2312" w:eastAsia="仿宋_GB2312"/>
              </w:rPr>
              <w:t xml:space="preserve"> 10.运营管理：支持预约挂号、缴费、住院等订单查询及数据统计；临床随访支持精准跟进患者就诊情况，自定义及下发随访问卷，统计分析随访数据，结合就医助手推送院后随访消息。</w:t>
            </w:r>
            <w:r>
              <w:br/>
            </w:r>
            <w:r>
              <w:rPr>
                <w:rFonts w:ascii="仿宋_GB2312" w:hAnsi="仿宋_GB2312" w:cs="仿宋_GB2312" w:eastAsia="仿宋_GB2312"/>
              </w:rPr>
              <w:t xml:space="preserve"> 11.健康宣教管理：提供健康知识科普、入院宣教、疾病 / 药物 / 检查知识指导、康复及出院指导功能；后台支持登录、权限角色分配，及宣教内容发布、删除操作。</w:t>
            </w:r>
            <w:r>
              <w:br/>
            </w:r>
            <w:r>
              <w:rPr>
                <w:rFonts w:ascii="仿宋_GB2312" w:hAnsi="仿宋_GB2312" w:cs="仿宋_GB2312" w:eastAsia="仿宋_GB2312"/>
              </w:rPr>
              <w:t xml:space="preserve"> 12.其他功能：支持互联网端转诊信息登记、查看及二维码生成；实现关键应用访问性能实时监控，支持任意时段服务质量回溯分析及应用 ACK 时延区间统计，监控指标完整可追溯。</w:t>
            </w:r>
            <w:r>
              <w:br/>
            </w:r>
            <w:r>
              <w:rPr>
                <w:rFonts w:ascii="仿宋_GB2312" w:hAnsi="仿宋_GB2312" w:cs="仿宋_GB2312" w:eastAsia="仿宋_GB2312"/>
              </w:rPr>
              <w:t xml:space="preserve"> 二、诊间支付系统</w:t>
            </w:r>
            <w:r>
              <w:br/>
            </w:r>
            <w:r>
              <w:rPr>
                <w:rFonts w:ascii="仿宋_GB2312" w:hAnsi="仿宋_GB2312" w:cs="仿宋_GB2312" w:eastAsia="仿宋_GB2312"/>
              </w:rPr>
              <w:t xml:space="preserve"> 1.订单生成：医生接诊开立处置后，系统自动生成待支付订单，支持诊间直接发起支付。</w:t>
            </w:r>
            <w:r>
              <w:br/>
            </w:r>
            <w:r>
              <w:rPr>
                <w:rFonts w:ascii="仿宋_GB2312" w:hAnsi="仿宋_GB2312" w:cs="仿宋_GB2312" w:eastAsia="仿宋_GB2312"/>
              </w:rPr>
              <w:t xml:space="preserve"> 2.支付结算：支持微信扫码支付、医保电子凭证支付，及医保统筹 + 医保个人账户 + 微信自费的混合支付结算。</w:t>
            </w:r>
            <w:r>
              <w:br/>
            </w:r>
            <w:r>
              <w:rPr>
                <w:rFonts w:ascii="仿宋_GB2312" w:hAnsi="仿宋_GB2312" w:cs="仿宋_GB2312" w:eastAsia="仿宋_GB2312"/>
              </w:rPr>
              <w:t xml:space="preserve"> 3.订单管理：支付结果实时回传 HIS 并更新订单状态，支持按患者、时间、科室、订单状态查询诊间支付记录。</w:t>
            </w:r>
            <w:r>
              <w:br/>
            </w:r>
            <w:r>
              <w:rPr>
                <w:rFonts w:ascii="仿宋_GB2312" w:hAnsi="仿宋_GB2312" w:cs="仿宋_GB2312" w:eastAsia="仿宋_GB2312"/>
              </w:rPr>
              <w:t xml:space="preserve"> 4.异常处理：支持支付失败查询、重试及人工干预；符合规则的订单支持原路退款、冲正处理，并同步回写业务系统。</w:t>
            </w:r>
            <w:r>
              <w:br/>
            </w:r>
            <w:r>
              <w:rPr>
                <w:rFonts w:ascii="仿宋_GB2312" w:hAnsi="仿宋_GB2312" w:cs="仿宋_GB2312" w:eastAsia="仿宋_GB2312"/>
              </w:rPr>
              <w:t xml:space="preserve"> 5.消息提醒：支付成功或失败后向患者推送结果提醒，指导后续取药、检查、就诊操作。</w:t>
            </w:r>
            <w:r>
              <w:br/>
            </w:r>
            <w:r>
              <w:rPr>
                <w:rFonts w:ascii="仿宋_GB2312" w:hAnsi="仿宋_GB2312" w:cs="仿宋_GB2312" w:eastAsia="仿宋_GB2312"/>
              </w:rPr>
              <w:t xml:space="preserve"> 三、国标医保 2.0 结算系统</w:t>
            </w:r>
            <w:r>
              <w:br/>
            </w:r>
            <w:r>
              <w:rPr>
                <w:rFonts w:ascii="仿宋_GB2312" w:hAnsi="仿宋_GB2312" w:cs="仿宋_GB2312" w:eastAsia="仿宋_GB2312"/>
              </w:rPr>
              <w:t xml:space="preserve"> 1.医保认证：支持医保电子凭证、社保卡等身份信息核验；实现参保人信息与院内患者档案绑定，减少重复录入。</w:t>
            </w:r>
            <w:r>
              <w:br/>
            </w:r>
            <w:r>
              <w:rPr>
                <w:rFonts w:ascii="仿宋_GB2312" w:hAnsi="仿宋_GB2312" w:cs="仿宋_GB2312" w:eastAsia="仿宋_GB2312"/>
              </w:rPr>
              <w:t xml:space="preserve"> 2.医保结算：按国家医保 2.0 规范完成门诊费用预结算，返回医保与自费分摊结果；支持结算申请上传医保平台，结算结果实时回写院内系统；支持查询医保结算单据、费用明细及结算状态。</w:t>
            </w:r>
            <w:r>
              <w:br/>
            </w:r>
            <w:r>
              <w:rPr>
                <w:rFonts w:ascii="仿宋_GB2312" w:hAnsi="仿宋_GB2312" w:cs="仿宋_GB2312" w:eastAsia="仿宋_GB2312"/>
              </w:rPr>
              <w:t xml:space="preserve"> 3.异常处理：对异常结算单支持按医保规则执行撤销、冲正及状态同步；退费场景支持按医保要求完成退费及重结算处理。</w:t>
            </w:r>
            <w:r>
              <w:br/>
            </w:r>
            <w:r>
              <w:rPr>
                <w:rFonts w:ascii="仿宋_GB2312" w:hAnsi="仿宋_GB2312" w:cs="仿宋_GB2312" w:eastAsia="仿宋_GB2312"/>
              </w:rPr>
              <w:t xml:space="preserve"> 4.基础配置：支持医保项目对照、结算参数、机构基础信息等配置与维护。</w:t>
            </w:r>
            <w:r>
              <w:br/>
            </w:r>
            <w:r>
              <w:rPr>
                <w:rFonts w:ascii="仿宋_GB2312" w:hAnsi="仿宋_GB2312" w:cs="仿宋_GB2312" w:eastAsia="仿宋_GB2312"/>
              </w:rPr>
              <w:t xml:space="preserve"> 5.监控审计：记录医保交互报文、返回结果及异常日志，支持交易追踪、问题排查及审计。</w:t>
            </w:r>
            <w:r>
              <w:br/>
            </w:r>
            <w:r>
              <w:rPr>
                <w:rFonts w:ascii="仿宋_GB2312" w:hAnsi="仿宋_GB2312" w:cs="仿宋_GB2312" w:eastAsia="仿宋_GB2312"/>
              </w:rPr>
              <w:t xml:space="preserve"> 四、对账平台管理系统</w:t>
            </w:r>
            <w:r>
              <w:br/>
            </w:r>
            <w:r>
              <w:rPr>
                <w:rFonts w:ascii="仿宋_GB2312" w:hAnsi="仿宋_GB2312" w:cs="仿宋_GB2312" w:eastAsia="仿宋_GB2312"/>
              </w:rPr>
              <w:t xml:space="preserve"> 1.对账管理：统一汇总 HIS 收费、微信支付、医保结算等交易流水数据；支持按支付渠道、科室、收费员、时间范围自动对账；比对院内收费记录与第三方支付结果，识别到账差异。</w:t>
            </w:r>
            <w:r>
              <w:br/>
            </w:r>
            <w:r>
              <w:rPr>
                <w:rFonts w:ascii="仿宋_GB2312" w:hAnsi="仿宋_GB2312" w:cs="仿宋_GB2312" w:eastAsia="仿宋_GB2312"/>
              </w:rPr>
              <w:t xml:space="preserve"> 2.异常处理：识别长款、短款、漏单、重单等异常场景并分析；支持异常订单筛查、标记、复核、处理及结果留痕。</w:t>
            </w:r>
            <w:r>
              <w:br/>
            </w:r>
            <w:r>
              <w:rPr>
                <w:rFonts w:ascii="仿宋_GB2312" w:hAnsi="仿宋_GB2312" w:cs="仿宋_GB2312" w:eastAsia="仿宋_GB2312"/>
              </w:rPr>
              <w:t xml:space="preserve"> 3.退款管理：支持支付退款、医保退费、冲正记录与院内订单的一致性核对。</w:t>
            </w:r>
            <w:r>
              <w:br/>
            </w:r>
            <w:r>
              <w:rPr>
                <w:rFonts w:ascii="仿宋_GB2312" w:hAnsi="仿宋_GB2312" w:cs="仿宋_GB2312" w:eastAsia="仿宋_GB2312"/>
              </w:rPr>
              <w:t xml:space="preserve"> 4.报表中心：提供日结、月结、渠道汇总、收费汇总等对账报表；支持对账明细、异常清单、统计报表导出及打印。</w:t>
            </w:r>
            <w:r>
              <w:br/>
            </w:r>
            <w:r>
              <w:rPr>
                <w:rFonts w:ascii="仿宋_GB2312" w:hAnsi="仿宋_GB2312" w:cs="仿宋_GB2312" w:eastAsia="仿宋_GB2312"/>
              </w:rPr>
              <w:t xml:space="preserve"> 5.任务与权限：支持定时自动执行对账任务，并生成任务执行结果；记录对账、复核、调整、导出等关键操作日志，满足管理要求。</w:t>
            </w:r>
          </w:p>
          <w:p>
            <w:pPr>
              <w:pStyle w:val="null3"/>
            </w:pPr>
            <w:r>
              <w:rPr>
                <w:rFonts w:ascii="仿宋_GB2312" w:hAnsi="仿宋_GB2312" w:cs="仿宋_GB2312" w:eastAsia="仿宋_GB2312"/>
              </w:rPr>
              <w:t>五智慧医疗服务系统硬件</w:t>
            </w:r>
          </w:p>
          <w:tbl>
            <w:tblPr>
              <w:tblBorders>
                <w:top w:val="none" w:color="000000" w:sz="4"/>
                <w:left w:val="none" w:color="000000" w:sz="4"/>
                <w:bottom w:val="none" w:color="000000" w:sz="4"/>
                <w:right w:val="none" w:color="000000" w:sz="4"/>
                <w:insideH w:val="none"/>
                <w:insideV w:val="none"/>
              </w:tblBorders>
            </w:tblPr>
            <w:tblGrid>
              <w:gridCol w:w="214"/>
              <w:gridCol w:w="580"/>
              <w:gridCol w:w="1749"/>
              <w:gridCol w:w="214"/>
              <w:gridCol w:w="214"/>
              <w:gridCol w:w="214"/>
            </w:tblGrid>
            <w:tr>
              <w:tc>
                <w:tcPr>
                  <w:tcW w:type="dxa" w:w="214"/>
                  <w:tcBorders>
                    <w:top w:val="single" w:color="000000" w:sz="4"/>
                    <w:left w:val="single" w:color="000000" w:sz="4"/>
                    <w:bottom w:val="single" w:color="000000" w:sz="4"/>
                    <w:right w:val="single" w:color="000000" w:sz="4"/>
                  </w:tcBorders>
                  <w:shd w:fill="FEE59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80"/>
                  <w:tcBorders>
                    <w:top w:val="single" w:color="000000" w:sz="4"/>
                    <w:left w:val="single" w:color="000000" w:sz="4"/>
                    <w:bottom w:val="single" w:color="000000" w:sz="4"/>
                    <w:right w:val="single" w:color="000000" w:sz="4"/>
                  </w:tcBorders>
                  <w:shd w:fill="FEE59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需求名称</w:t>
                  </w:r>
                </w:p>
              </w:tc>
              <w:tc>
                <w:tcPr>
                  <w:tcW w:type="dxa" w:w="1749"/>
                  <w:tcBorders>
                    <w:top w:val="single" w:color="000000" w:sz="4"/>
                    <w:left w:val="single" w:color="000000" w:sz="4"/>
                    <w:bottom w:val="single" w:color="000000" w:sz="4"/>
                    <w:right w:val="single" w:color="000000" w:sz="4"/>
                  </w:tcBorders>
                  <w:shd w:fill="FEE59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配置要求</w:t>
                  </w:r>
                </w:p>
              </w:tc>
              <w:tc>
                <w:tcPr>
                  <w:tcW w:type="dxa" w:w="214"/>
                  <w:tcBorders>
                    <w:top w:val="single" w:color="000000" w:sz="4"/>
                    <w:left w:val="single" w:color="000000" w:sz="4"/>
                    <w:bottom w:val="single" w:color="000000" w:sz="4"/>
                    <w:right w:val="single" w:color="000000" w:sz="4"/>
                  </w:tcBorders>
                  <w:shd w:fill="FEE59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14"/>
                  <w:tcBorders>
                    <w:top w:val="single" w:color="000000" w:sz="4"/>
                    <w:left w:val="single" w:color="000000" w:sz="4"/>
                    <w:bottom w:val="single" w:color="000000" w:sz="4"/>
                    <w:right w:val="single" w:color="000000" w:sz="4"/>
                  </w:tcBorders>
                  <w:shd w:fill="FEE59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14"/>
                  <w:tcBorders>
                    <w:top w:val="single" w:color="000000" w:sz="4"/>
                    <w:left w:val="single" w:color="000000" w:sz="4"/>
                    <w:bottom w:val="single" w:color="000000" w:sz="4"/>
                    <w:right w:val="single" w:color="000000" w:sz="4"/>
                  </w:tcBorders>
                  <w:shd w:fill="FEE59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前置服务器</w:t>
                  </w:r>
                </w:p>
              </w:tc>
              <w:tc>
                <w:tcPr>
                  <w:tcW w:type="dxa" w:w="17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1、处理器：≥1颗处理器，主频≥2.5GHz；</w:t>
                  </w:r>
                </w:p>
                <w:p>
                  <w:pPr>
                    <w:pStyle w:val="null3"/>
                    <w:jc w:val="left"/>
                  </w:pPr>
                  <w:r>
                    <w:rPr>
                      <w:rFonts w:ascii="仿宋_GB2312" w:hAnsi="仿宋_GB2312" w:cs="仿宋_GB2312" w:eastAsia="仿宋_GB2312"/>
                      <w:sz w:val="21"/>
                    </w:rPr>
                    <w:t>2、内存：≥16GB DDR4内存；</w:t>
                  </w:r>
                </w:p>
                <w:p>
                  <w:pPr>
                    <w:pStyle w:val="null3"/>
                    <w:jc w:val="left"/>
                  </w:pPr>
                  <w:r>
                    <w:rPr>
                      <w:rFonts w:ascii="仿宋_GB2312" w:hAnsi="仿宋_GB2312" w:cs="仿宋_GB2312" w:eastAsia="仿宋_GB2312"/>
                      <w:sz w:val="21"/>
                    </w:rPr>
                    <w:t>3、硬盘：≥2*4TB 企业级硬盘；</w:t>
                  </w:r>
                </w:p>
                <w:p>
                  <w:pPr>
                    <w:pStyle w:val="null3"/>
                    <w:jc w:val="left"/>
                  </w:pPr>
                  <w:r>
                    <w:rPr>
                      <w:rFonts w:ascii="仿宋_GB2312" w:hAnsi="仿宋_GB2312" w:cs="仿宋_GB2312" w:eastAsia="仿宋_GB2312"/>
                      <w:sz w:val="21"/>
                    </w:rPr>
                    <w:t>4、其他接口：≥2个USB 固定接口，≥1个VGA接口，≥1个串口，1个专用管理网口；</w:t>
                  </w:r>
                </w:p>
              </w:tc>
              <w:tc>
                <w:tcPr>
                  <w:tcW w:type="dxa" w:w="2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接入交换机</w:t>
                  </w:r>
                  <w:r>
                    <w:rPr>
                      <w:rFonts w:ascii="仿宋_GB2312" w:hAnsi="仿宋_GB2312" w:cs="仿宋_GB2312" w:eastAsia="仿宋_GB2312"/>
                      <w:sz w:val="21"/>
                    </w:rPr>
                    <w:t>24口</w:t>
                  </w:r>
                </w:p>
              </w:tc>
              <w:tc>
                <w:tcPr>
                  <w:tcW w:type="dxa" w:w="17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交换容量</w:t>
                  </w:r>
                  <w:r>
                    <w:rPr>
                      <w:rFonts w:ascii="仿宋_GB2312" w:hAnsi="仿宋_GB2312" w:cs="仿宋_GB2312" w:eastAsia="仿宋_GB2312"/>
                      <w:sz w:val="21"/>
                    </w:rPr>
                    <w:t>≥336Gbps，转发性能≥126Mpps，千兆电口≥24个，千兆光口≥4个，</w:t>
                  </w:r>
                </w:p>
              </w:tc>
              <w:tc>
                <w:tcPr>
                  <w:tcW w:type="dxa" w:w="2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立式自助服务终端</w:t>
                  </w:r>
                </w:p>
              </w:tc>
              <w:tc>
                <w:tcPr>
                  <w:tcW w:type="dxa" w:w="17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操作系统：不低于</w:t>
                  </w:r>
                  <w:r>
                    <w:rPr>
                      <w:rFonts w:ascii="仿宋_GB2312" w:hAnsi="仿宋_GB2312" w:cs="仿宋_GB2312" w:eastAsia="仿宋_GB2312"/>
                      <w:sz w:val="21"/>
                    </w:rPr>
                    <w:t>window 10 操作系统</w:t>
                  </w:r>
                </w:p>
                <w:p>
                  <w:pPr>
                    <w:pStyle w:val="null3"/>
                  </w:pPr>
                  <w:r>
                    <w:rPr>
                      <w:rFonts w:ascii="仿宋_GB2312" w:hAnsi="仿宋_GB2312" w:cs="仿宋_GB2312" w:eastAsia="仿宋_GB2312"/>
                      <w:sz w:val="21"/>
                    </w:rPr>
                    <w:t>2、</w:t>
                  </w:r>
                  <w:r>
                    <w:rPr>
                      <w:rFonts w:ascii="仿宋_GB2312" w:hAnsi="仿宋_GB2312" w:cs="仿宋_GB2312" w:eastAsia="仿宋_GB2312"/>
                      <w:sz w:val="21"/>
                    </w:rPr>
                    <w:t>主控模块：</w:t>
                  </w:r>
                  <w:r>
                    <w:rPr>
                      <w:rFonts w:ascii="仿宋_GB2312" w:hAnsi="仿宋_GB2312" w:cs="仿宋_GB2312" w:eastAsia="仿宋_GB2312"/>
                      <w:sz w:val="21"/>
                    </w:rPr>
                    <w:t>CPU ：≥I5；内存≥8G，硬盘≥256G</w:t>
                  </w:r>
                </w:p>
                <w:p>
                  <w:pPr>
                    <w:pStyle w:val="null3"/>
                  </w:pPr>
                  <w:r>
                    <w:rPr>
                      <w:rFonts w:ascii="仿宋_GB2312" w:hAnsi="仿宋_GB2312" w:cs="仿宋_GB2312" w:eastAsia="仿宋_GB2312"/>
                      <w:sz w:val="21"/>
                    </w:rPr>
                    <w:t>3、</w:t>
                  </w:r>
                  <w:r>
                    <w:rPr>
                      <w:rFonts w:ascii="仿宋_GB2312" w:hAnsi="仿宋_GB2312" w:cs="仿宋_GB2312" w:eastAsia="仿宋_GB2312"/>
                      <w:sz w:val="21"/>
                    </w:rPr>
                    <w:t>液晶触摸显示屏：</w:t>
                  </w:r>
                  <w:r>
                    <w:rPr>
                      <w:rFonts w:ascii="仿宋_GB2312" w:hAnsi="仿宋_GB2312" w:cs="仿宋_GB2312" w:eastAsia="仿宋_GB2312"/>
                      <w:sz w:val="21"/>
                    </w:rPr>
                    <w:t>≥43英寸显示屏；</w:t>
                  </w:r>
                </w:p>
                <w:p>
                  <w:pPr>
                    <w:pStyle w:val="null3"/>
                  </w:pPr>
                  <w:r>
                    <w:rPr>
                      <w:rFonts w:ascii="仿宋_GB2312" w:hAnsi="仿宋_GB2312" w:cs="仿宋_GB2312" w:eastAsia="仿宋_GB2312"/>
                      <w:sz w:val="21"/>
                    </w:rPr>
                    <w:t>4、支持医保刷脸、读身份证、社保卡、扫码</w:t>
                  </w:r>
                </w:p>
                <w:p>
                  <w:pPr>
                    <w:pStyle w:val="null3"/>
                  </w:pPr>
                  <w:r>
                    <w:rPr>
                      <w:rFonts w:ascii="仿宋_GB2312" w:hAnsi="仿宋_GB2312" w:cs="仿宋_GB2312" w:eastAsia="仿宋_GB2312"/>
                      <w:sz w:val="21"/>
                    </w:rPr>
                    <w:t>5、支持</w:t>
                  </w:r>
                  <w:r>
                    <w:rPr>
                      <w:rFonts w:ascii="仿宋_GB2312" w:hAnsi="仿宋_GB2312" w:cs="仿宋_GB2312" w:eastAsia="仿宋_GB2312"/>
                      <w:sz w:val="21"/>
                    </w:rPr>
                    <w:t>报告打印机</w:t>
                  </w:r>
                </w:p>
              </w:tc>
              <w:tc>
                <w:tcPr>
                  <w:tcW w:type="dxa" w:w="2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医保电子凭证人脸识别设备</w:t>
                  </w:r>
                </w:p>
              </w:tc>
              <w:tc>
                <w:tcPr>
                  <w:tcW w:type="dxa" w:w="17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操作系统：</w:t>
                  </w:r>
                  <w:r>
                    <w:rPr>
                      <w:rFonts w:ascii="仿宋_GB2312" w:hAnsi="仿宋_GB2312" w:cs="仿宋_GB2312" w:eastAsia="仿宋_GB2312"/>
                      <w:sz w:val="21"/>
                    </w:rPr>
                    <w:t>Android 9.0以上</w:t>
                  </w:r>
                </w:p>
                <w:p>
                  <w:pPr>
                    <w:pStyle w:val="null3"/>
                  </w:pPr>
                  <w:r>
                    <w:rPr>
                      <w:rFonts w:ascii="仿宋_GB2312" w:hAnsi="仿宋_GB2312" w:cs="仿宋_GB2312" w:eastAsia="仿宋_GB2312"/>
                      <w:sz w:val="21"/>
                    </w:rPr>
                    <w:t>2、</w:t>
                  </w:r>
                  <w:r>
                    <w:rPr>
                      <w:rFonts w:ascii="仿宋_GB2312" w:hAnsi="仿宋_GB2312" w:cs="仿宋_GB2312" w:eastAsia="仿宋_GB2312"/>
                      <w:sz w:val="21"/>
                    </w:rPr>
                    <w:t>中央处理器：不低于</w:t>
                  </w:r>
                  <w:r>
                    <w:rPr>
                      <w:rFonts w:ascii="仿宋_GB2312" w:hAnsi="仿宋_GB2312" w:cs="仿宋_GB2312" w:eastAsia="仿宋_GB2312"/>
                      <w:sz w:val="21"/>
                    </w:rPr>
                    <w:t>8 核处理器，2.0GHz</w:t>
                  </w:r>
                </w:p>
                <w:p>
                  <w:pPr>
                    <w:pStyle w:val="null3"/>
                  </w:pPr>
                  <w:r>
                    <w:rPr>
                      <w:rFonts w:ascii="仿宋_GB2312" w:hAnsi="仿宋_GB2312" w:cs="仿宋_GB2312" w:eastAsia="仿宋_GB2312"/>
                      <w:sz w:val="21"/>
                    </w:rPr>
                    <w:t>3、</w:t>
                  </w:r>
                  <w:r>
                    <w:rPr>
                      <w:rFonts w:ascii="仿宋_GB2312" w:hAnsi="仿宋_GB2312" w:cs="仿宋_GB2312" w:eastAsia="仿宋_GB2312"/>
                      <w:sz w:val="21"/>
                    </w:rPr>
                    <w:t>存储：不低于</w:t>
                  </w:r>
                  <w:r>
                    <w:rPr>
                      <w:rFonts w:ascii="仿宋_GB2312" w:hAnsi="仿宋_GB2312" w:cs="仿宋_GB2312" w:eastAsia="仿宋_GB2312"/>
                      <w:sz w:val="21"/>
                    </w:rPr>
                    <w:t>4GB RAM+64GB ROM</w:t>
                  </w:r>
                </w:p>
                <w:p>
                  <w:pPr>
                    <w:pStyle w:val="null3"/>
                  </w:pPr>
                  <w:r>
                    <w:rPr>
                      <w:rFonts w:ascii="仿宋_GB2312" w:hAnsi="仿宋_GB2312" w:cs="仿宋_GB2312" w:eastAsia="仿宋_GB2312"/>
                      <w:sz w:val="21"/>
                    </w:rPr>
                    <w:t>4、</w:t>
                  </w:r>
                  <w:r>
                    <w:rPr>
                      <w:rFonts w:ascii="仿宋_GB2312" w:hAnsi="仿宋_GB2312" w:cs="仿宋_GB2312" w:eastAsia="仿宋_GB2312"/>
                      <w:sz w:val="21"/>
                    </w:rPr>
                    <w:t>显示触摸屏：尺寸</w:t>
                  </w:r>
                  <w:r>
                    <w:rPr>
                      <w:rFonts w:ascii="仿宋_GB2312" w:hAnsi="仿宋_GB2312" w:cs="仿宋_GB2312" w:eastAsia="仿宋_GB2312"/>
                      <w:sz w:val="21"/>
                    </w:rPr>
                    <w:t>≥8 寸</w:t>
                  </w:r>
                </w:p>
                <w:p>
                  <w:pPr>
                    <w:pStyle w:val="null3"/>
                  </w:pPr>
                  <w:r>
                    <w:rPr>
                      <w:rFonts w:ascii="仿宋_GB2312" w:hAnsi="仿宋_GB2312" w:cs="仿宋_GB2312" w:eastAsia="仿宋_GB2312"/>
                      <w:sz w:val="21"/>
                    </w:rPr>
                    <w:t>5、支持医保刷脸、读身份证、社保卡、扫码</w:t>
                  </w:r>
                </w:p>
              </w:tc>
              <w:tc>
                <w:tcPr>
                  <w:tcW w:type="dxa" w:w="2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六、自助机服务软件</w:t>
            </w:r>
            <w:r>
              <w:br/>
            </w:r>
            <w:r>
              <w:rPr>
                <w:rFonts w:ascii="仿宋_GB2312" w:hAnsi="仿宋_GB2312" w:cs="仿宋_GB2312" w:eastAsia="仿宋_GB2312"/>
              </w:rPr>
              <w:t xml:space="preserve"> 1.基础模块：支持自费支付、医保结算功能。</w:t>
            </w:r>
            <w:r>
              <w:br/>
            </w:r>
            <w:r>
              <w:rPr>
                <w:rFonts w:ascii="仿宋_GB2312" w:hAnsi="仿宋_GB2312" w:cs="仿宋_GB2312" w:eastAsia="仿宋_GB2312"/>
              </w:rPr>
              <w:t xml:space="preserve"> 2.自助服务：实现门诊挂号、门诊缴费、报告打印、发票打印功能。</w:t>
            </w:r>
            <w:r>
              <w:br/>
            </w:r>
            <w:r>
              <w:rPr>
                <w:rFonts w:ascii="仿宋_GB2312" w:hAnsi="仿宋_GB2312" w:cs="仿宋_GB2312" w:eastAsia="仿宋_GB2312"/>
              </w:rPr>
              <w:t xml:space="preserve"> 3.三方对接：完成与统一支付对账平台、HIS 系统的对接，实现数据交互。</w:t>
            </w:r>
            <w:r>
              <w:br/>
            </w:r>
            <w:r>
              <w:rPr>
                <w:rFonts w:ascii="仿宋_GB2312" w:hAnsi="仿宋_GB2312" w:cs="仿宋_GB2312" w:eastAsia="仿宋_GB2312"/>
              </w:rPr>
              <w:t xml:space="preserve"> 七、线下缴费系统及电子发票</w:t>
            </w:r>
            <w:r>
              <w:br/>
            </w:r>
            <w:r>
              <w:rPr>
                <w:rFonts w:ascii="仿宋_GB2312" w:hAnsi="仿宋_GB2312" w:cs="仿宋_GB2312" w:eastAsia="仿宋_GB2312"/>
              </w:rPr>
              <w:t xml:space="preserve"> 1.线下收费：支持通过就诊卡、身份证、条码等方式识别患者身份；支持查询门诊、检查、检验、住院预交金等待缴费用信息；支持现金、微信等线下支付方式；缴费完成后自动回写 HIS，更新收费状态并生成收费记录。</w:t>
            </w:r>
            <w:r>
              <w:br/>
            </w:r>
            <w:r>
              <w:rPr>
                <w:rFonts w:ascii="仿宋_GB2312" w:hAnsi="仿宋_GB2312" w:cs="仿宋_GB2312" w:eastAsia="仿宋_GB2312"/>
              </w:rPr>
              <w:t xml:space="preserve"> 2.退费管理：支持线下窗口按医院规则办理部分退费、整单退费及退费审核处理。</w:t>
            </w:r>
            <w:r>
              <w:br/>
            </w:r>
            <w:r>
              <w:rPr>
                <w:rFonts w:ascii="仿宋_GB2312" w:hAnsi="仿宋_GB2312" w:cs="仿宋_GB2312" w:eastAsia="仿宋_GB2312"/>
              </w:rPr>
              <w:t xml:space="preserve"> 3.电子发票：对接电子票据平台，患者缴费成功后按收费订单开具电子发票；支持按患者、订单号、时间等条件查询并下载电子发票；支持电子发票补开、重发及按财政票据管理要求执行红冲、作废处理。</w:t>
            </w:r>
            <w:r>
              <w:br/>
            </w:r>
            <w:r>
              <w:rPr>
                <w:rFonts w:ascii="仿宋_GB2312" w:hAnsi="仿宋_GB2312" w:cs="仿宋_GB2312" w:eastAsia="仿宋_GB2312"/>
              </w:rPr>
              <w:t xml:space="preserve"> 4.统计管理：提供窗口收费统计、退费统计、发票开具统计等报表。</w:t>
            </w:r>
            <w:r>
              <w:br/>
            </w:r>
            <w:r>
              <w:rPr>
                <w:rFonts w:ascii="仿宋_GB2312" w:hAnsi="仿宋_GB2312" w:cs="仿宋_GB2312" w:eastAsia="仿宋_GB2312"/>
              </w:rPr>
              <w:t xml:space="preserve"> 八、第三方接口对接</w:t>
            </w:r>
            <w:r>
              <w:br/>
            </w:r>
            <w:r>
              <w:rPr>
                <w:rFonts w:ascii="仿宋_GB2312" w:hAnsi="仿宋_GB2312" w:cs="仿宋_GB2312" w:eastAsia="仿宋_GB2312"/>
              </w:rPr>
              <w:t xml:space="preserve"> 1.院内系统接口：对接 HIS 实现患者档案、挂号、收费、退费、订单状态等数据交互；对接 LIS 实现检验申请、结果查询及报告展示；对接 PACS 实现检查申请、报告查询及影像结果展示。</w:t>
            </w:r>
            <w:r>
              <w:br/>
            </w:r>
            <w:r>
              <w:rPr>
                <w:rFonts w:ascii="仿宋_GB2312" w:hAnsi="仿宋_GB2312" w:cs="仿宋_GB2312" w:eastAsia="仿宋_GB2312"/>
              </w:rPr>
              <w:t xml:space="preserve"> 2.医保接口：对接国家医保相关平台，实现医保身份认证、医保结算及结果同步。</w:t>
            </w:r>
            <w:r>
              <w:br/>
            </w:r>
            <w:r>
              <w:rPr>
                <w:rFonts w:ascii="仿宋_GB2312" w:hAnsi="仿宋_GB2312" w:cs="仿宋_GB2312" w:eastAsia="仿宋_GB2312"/>
              </w:rPr>
              <w:t xml:space="preserve"> 3.微信生态接口：对接微信支付完成挂号、缴费、住院预交金等支付操作；对接微信消息推送接口，发送挂号、缴费、报告等提醒消息。</w:t>
            </w:r>
            <w:r>
              <w:br/>
            </w:r>
            <w:r>
              <w:rPr>
                <w:rFonts w:ascii="仿宋_GB2312" w:hAnsi="仿宋_GB2312" w:cs="仿宋_GB2312" w:eastAsia="仿宋_GB2312"/>
              </w:rPr>
              <w:t xml:space="preserve"> 4.便民服务接口：对接国家电子健康卡平台，实现实名认证、绑卡及卡包应用；对接财政电子票据平台，实现电子发票开具、查询和下载。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合同签订之日起30日历日内完成安装、制作、运输，并调试完成。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合同签订后支付合同金额</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根据完成进度支付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验收合格后支付全部合同款项，验收以采购人组织或其委托的检验机构出具的检验结论为准。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现场验收，验收以采购人组织或其委托的检验机构出具的检验结论为准。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软件质保2年；硬件质保2年。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详见拟签订采购合同文本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详见拟签订采购合同文本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7.汉中市政府采购供应商资格承诺函.docx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7.汉中市政府采购供应商资格承诺函.docx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1供应商合法注册的法人或其他组织的营业执照等证明文件； 2供应商参加本项目的合法授权人授权委托书；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 3供应商在递交响应文件截止时间前被“信用中国”网站（www.creditchina.gov.cn）和中国政府采购网（www.ccgp.gov.cn）上被列入失信被执行人、重大税收违法失信主体、政府采购严重违法失信行为记录名单的，不得参加磋商；4提供盖章的《汉中市政府采购供应商资格承诺函》</w:t>
            </w:r>
          </w:p>
        </w:tc>
        <w:tc>
          <w:tcPr>
            <w:tcW w:type="dxa" w:w="1661"/>
          </w:tcPr>
          <w:p>
            <w:pPr>
              <w:pStyle w:val="null3"/>
            </w:pPr>
            <w:r>
              <w:rPr>
                <w:rFonts w:ascii="仿宋_GB2312" w:hAnsi="仿宋_GB2312" w:cs="仿宋_GB2312" w:eastAsia="仿宋_GB2312"/>
              </w:rPr>
              <w:t>7.汉中市政府采购供应商资格承诺函.docx 8.特定资格证明文件.docx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中小企业声明函 13.商务条款偏离表.docx 16.技术方案.docx 供应商应提交的相关资格证明材料 8.特定资格证明文件.docx 报价表 12new.磋商保证金支付凭证或保函.docx 响应文件封面 6.关于符合本国产品标准的声明函.docx 7.汉中市政府采购供应商资格承诺函.docx 残疾人福利性单位声明函 17.业绩一览表.docx 19.磋商响应报价表.docx 标的清单 14.技术偏离表.docx 响应函 监狱企业的证明文件 15.技术证明材料.docx 11.分项报价表.docx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19.磋商响应报价表.docx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一、评审中出现下列情形之一的，磋商小组会应当启动异常低价审查程序： 1.供应商报价低于全部通过符合性审查供应商报价平均值50%的，即磋商报价&lt;全部通过符合性审查供应商报价平均值×50%； 2.磋商报价低于通过符合性审查的次低报价供应商报价50%的，即磋商报价&lt;通过符合性审查的次低报价供应商报价×50%； 3.磋商报价低于采购项目最高限价45%的，即磋商报价&lt;采购项目最高限价×45%； 4.磋商小组基于专业判断，认为供应商报价过低，有可能影响产品质量或者不能诚信履约的其他情形。 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评标委员会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19.磋商响应报价表.docx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12new.磋商保证金支付凭证或保函.docx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13.商务条款偏离表.docx 16.技术方案.docx 14.技术偏离表.docx 15.技术证明材料.docx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16.技术方案.docx 14.技术偏离表.docx 15.技术证明材料.docx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（弄虚作假、串通的情形见附注）</w:t>
            </w:r>
          </w:p>
        </w:tc>
        <w:tc>
          <w:tcPr>
            <w:tcW w:type="dxa" w:w="1661"/>
          </w:tcPr>
          <w:p>
            <w:pPr>
              <w:pStyle w:val="null3"/>
            </w:pPr>
            <w:r>
              <w:rPr>
                <w:rFonts w:ascii="仿宋_GB2312" w:hAnsi="仿宋_GB2312" w:cs="仿宋_GB2312" w:eastAsia="仿宋_GB2312"/>
              </w:rPr>
              <w:t>中小企业声明函 13.商务条款偏离表.docx 16.技术方案.docx 供应商应提交的相关资格证明材料 8.特定资格证明文件.docx 报价表 12new.磋商保证金支付凭证或保函.docx 响应文件封面 6.关于符合本国产品标准的声明函.docx 7.汉中市政府采购供应商资格承诺函.docx 残疾人福利性单位声明函 17.业绩一览表.docx 19.磋商响应报价表.docx 标的清单 14.技术偏离表.docx 响应函 监狱企业的证明文件 15.技术证明材料.docx 11.分项报价表.docx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13.商务条款偏离表.docx 16.技术方案.docx 14.技术偏离表.docx 15.技术证明材料.docx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磋商响应产品的技术指标评审:完全响应得33分。一般技术指标参数一项不满足扣1分，扣完为止。评审依据:按照技术参数要求提供相应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14.技术偏离表.docx</w:t>
            </w:r>
          </w:p>
          <w:p>
            <w:pPr>
              <w:pStyle w:val="null3"/>
            </w:pPr>
            <w:r>
              <w:rPr>
                <w:rFonts w:ascii="仿宋_GB2312" w:hAnsi="仿宋_GB2312" w:cs="仿宋_GB2312" w:eastAsia="仿宋_GB2312"/>
              </w:rPr>
              <w:t>15.技术证明材料.docx</w:t>
            </w:r>
          </w:p>
          <w:p>
            <w:pPr>
              <w:pStyle w:val="null3"/>
            </w:pPr>
            <w:r>
              <w:rPr>
                <w:rFonts w:ascii="仿宋_GB2312" w:hAnsi="仿宋_GB2312" w:cs="仿宋_GB2312" w:eastAsia="仿宋_GB2312"/>
              </w:rPr>
              <w:t>16.技术方案.docx</w:t>
            </w:r>
          </w:p>
        </w:tc>
      </w:tr>
      <w:tr>
        <w:tc>
          <w:tcPr>
            <w:tcW w:type="dxa" w:w="831"/>
            <w:vMerge/>
          </w:tcPr>
          <w:p/>
        </w:tc>
        <w:tc>
          <w:tcPr>
            <w:tcW w:type="dxa" w:w="1661"/>
          </w:tcPr>
          <w:p>
            <w:pPr>
              <w:pStyle w:val="null3"/>
            </w:pPr>
            <w:r>
              <w:rPr>
                <w:rFonts w:ascii="仿宋_GB2312" w:hAnsi="仿宋_GB2312" w:cs="仿宋_GB2312" w:eastAsia="仿宋_GB2312"/>
              </w:rPr>
              <w:t>项目需求理解与方案设计</w:t>
            </w:r>
          </w:p>
        </w:tc>
        <w:tc>
          <w:tcPr>
            <w:tcW w:type="dxa" w:w="2492"/>
          </w:tcPr>
          <w:p>
            <w:pPr>
              <w:pStyle w:val="null3"/>
            </w:pPr>
            <w:r>
              <w:rPr>
                <w:rFonts w:ascii="仿宋_GB2312" w:hAnsi="仿宋_GB2312" w:cs="仿宋_GB2312" w:eastAsia="仿宋_GB2312"/>
              </w:rPr>
              <w:t>1. 全面掌握医院业务流程，对现有信息化系统、软硬件环境、数据资源、业务痛点分析深入、完整、准确；完全契合项目建设目标，需求响应无遗漏；技术架构先进合理、技术路线清晰明确、实施步骤具体可行、保障措施完善，得5分；2. 较为熟悉医院业务流程，对现有信息化现状、业务需求分析较为全面；基本契合项目建设目标；技术方案合理、实施思路清晰、具备可操作性，得3分；3.对医院业务及信息化现状了解不充分，需求分析内容简略、缺乏针对性；对项目建设目标理解一般；技术路线不够清晰、方案内容简单、可行性一般，得1分；4. 未提供方案或方案与项目需求严重不符，得0分。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14.技术偏离表.docx</w:t>
            </w:r>
          </w:p>
          <w:p>
            <w:pPr>
              <w:pStyle w:val="null3"/>
            </w:pPr>
            <w:r>
              <w:rPr>
                <w:rFonts w:ascii="仿宋_GB2312" w:hAnsi="仿宋_GB2312" w:cs="仿宋_GB2312" w:eastAsia="仿宋_GB2312"/>
              </w:rPr>
              <w:t>15.技术证明材料.docx</w:t>
            </w:r>
          </w:p>
          <w:p>
            <w:pPr>
              <w:pStyle w:val="null3"/>
            </w:pPr>
            <w:r>
              <w:rPr>
                <w:rFonts w:ascii="仿宋_GB2312" w:hAnsi="仿宋_GB2312" w:cs="仿宋_GB2312" w:eastAsia="仿宋_GB2312"/>
              </w:rPr>
              <w:t>16.技术方案.docx</w:t>
            </w:r>
          </w:p>
        </w:tc>
      </w:tr>
      <w:tr>
        <w:tc>
          <w:tcPr>
            <w:tcW w:type="dxa" w:w="831"/>
            <w:vMerge/>
          </w:tcPr>
          <w:p/>
        </w:tc>
        <w:tc>
          <w:tcPr>
            <w:tcW w:type="dxa" w:w="1661"/>
          </w:tcPr>
          <w:p>
            <w:pPr>
              <w:pStyle w:val="null3"/>
            </w:pPr>
            <w:r>
              <w:rPr>
                <w:rFonts w:ascii="仿宋_GB2312" w:hAnsi="仿宋_GB2312" w:cs="仿宋_GB2312" w:eastAsia="仿宋_GB2312"/>
              </w:rPr>
              <w:t>项目组织实施方案</w:t>
            </w:r>
          </w:p>
        </w:tc>
        <w:tc>
          <w:tcPr>
            <w:tcW w:type="dxa" w:w="2492"/>
          </w:tcPr>
          <w:p>
            <w:pPr>
              <w:pStyle w:val="null3"/>
            </w:pPr>
            <w:r>
              <w:rPr>
                <w:rFonts w:ascii="仿宋_GB2312" w:hAnsi="仿宋_GB2312" w:cs="仿宋_GB2312" w:eastAsia="仿宋_GB2312"/>
              </w:rPr>
              <w:t>1. 方案同时包含实施计划、开发、测试、验收、风险防控、质量保障全部六大内容；实施计划阶段划分清晰、时间节点明确、人员配置及职责分工具体；开发流程规范、测试用例与测试标准完整、验收内容及验收标准明确；风险识别全面、防控措施具体可落地；质量保障体系完善、管控措施严谨可行，方案专业、贴合项目实际、可落地执行，得5分；2. 方案包含上述六大内容大部分要素，内容较完整、流程合理，整体具备可行性，无明显缺陷，得3分；3. 方案内容简单粗略，缺少 2 项及以上关键内容，实施节点、人员分工、测试验收、风险防控、质量保障等内容不明确，方案操作性较弱，难以满足项目实施要求，得1分；4. 未提供项目组织实施方案，得0分。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14.技术偏离表.docx</w:t>
            </w:r>
          </w:p>
          <w:p>
            <w:pPr>
              <w:pStyle w:val="null3"/>
            </w:pPr>
            <w:r>
              <w:rPr>
                <w:rFonts w:ascii="仿宋_GB2312" w:hAnsi="仿宋_GB2312" w:cs="仿宋_GB2312" w:eastAsia="仿宋_GB2312"/>
              </w:rPr>
              <w:t>15.技术证明材料.docx</w:t>
            </w:r>
          </w:p>
          <w:p>
            <w:pPr>
              <w:pStyle w:val="null3"/>
            </w:pPr>
            <w:r>
              <w:rPr>
                <w:rFonts w:ascii="仿宋_GB2312" w:hAnsi="仿宋_GB2312" w:cs="仿宋_GB2312" w:eastAsia="仿宋_GB2312"/>
              </w:rPr>
              <w:t>16.技术方案.docx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 建立完善的售后服务体系，明确服务组织机构、人员配置、服务流程、服务方式；明确书面承诺：故障受理响应时间、问题处置时限、远程 / 现场支持时效；具备完善的系统升级、版本迭代、日常维护、漏洞修复、数据安全保障方案；维护内容全面、保障措施具体可行，完全满足项目长期运行需求，得5分；2. 售后服务方案较为完整合理，明确服务流程及联系方式；明确工作日期间技术咨询、故障上报、响应及处置时限要求；具备基本的系统维护与技术支持措施，能够满足项目基本运维需求，得3分；3. 仅简单描述售后服务内容，未明确故障响应时效、处理完成时限、维护计划；无具体服务承诺及可落地保障措施，内容笼统简略，得1分；4. 未提供售后服务方案，得0分。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15.技术证明材料.docx</w:t>
            </w:r>
          </w:p>
          <w:p>
            <w:pPr>
              <w:pStyle w:val="null3"/>
            </w:pPr>
            <w:r>
              <w:rPr>
                <w:rFonts w:ascii="仿宋_GB2312" w:hAnsi="仿宋_GB2312" w:cs="仿宋_GB2312" w:eastAsia="仿宋_GB2312"/>
              </w:rPr>
              <w:t>16.技术方案.docx</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1. 按照管理层、操作层、技术层进行针对性分层分类培训，培训内容详实、贴合医院各岗位实际使用场景；培训计划、培训教材、培训方式、培训时长明确，具备完善的培训考核、效果验证、售后巩固等保障措施，可有效保障使用效果，得5分；2. 具备基础分层培训方案，培训内容基本可行，能够满足项目基础使用需求，培训安排合理，但未设置培训考核及效果验证机制，得3分；3. 培训方案内容简单，仅覆盖单一培训内容，未结合医院岗位实际需求设计，针对性、实用性较弱，得 1 分；4. 未提供培训服务方案，得0分。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15.技术证明材料.docx</w:t>
            </w:r>
          </w:p>
          <w:p>
            <w:pPr>
              <w:pStyle w:val="null3"/>
            </w:pPr>
            <w:r>
              <w:rPr>
                <w:rFonts w:ascii="仿宋_GB2312" w:hAnsi="仿宋_GB2312" w:cs="仿宋_GB2312" w:eastAsia="仿宋_GB2312"/>
              </w:rPr>
              <w:t>16.技术方案.docx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供应商或产品厂家自2022年1月1日起至今，每提供一份业绩得3分，满分为6分（以合同签订时间为准，需提供业绩合同复印件或扫描件且加盖单位公章）；未提供或提供材料不全，得0分。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15.技术证明材料.docx</w:t>
            </w:r>
          </w:p>
          <w:p>
            <w:pPr>
              <w:pStyle w:val="null3"/>
            </w:pPr>
            <w:r>
              <w:rPr>
                <w:rFonts w:ascii="仿宋_GB2312" w:hAnsi="仿宋_GB2312" w:cs="仿宋_GB2312" w:eastAsia="仿宋_GB2312"/>
              </w:rPr>
              <w:t>16.技术方案.docx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号）要求提供国家确定的认证机构出具的、处于有效期之内的节能产品或环境标志产品认证证书，每提供一个得0.25分，满分1分。政府强制采购产品不予加分。 备注：以加盖供应商公章的证明材料为计分依据。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11.分项报价表.docx</w:t>
            </w:r>
          </w:p>
          <w:p>
            <w:pPr>
              <w:pStyle w:val="null3"/>
            </w:pPr>
            <w:r>
              <w:rPr>
                <w:rFonts w:ascii="仿宋_GB2312" w:hAnsi="仿宋_GB2312" w:cs="仿宋_GB2312" w:eastAsia="仿宋_GB2312"/>
              </w:rPr>
              <w:t>19.磋商响应报价表.docx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内容完整、可实施、且有针对性（明确故障分类及量化响应时限，处置流程清晰，有应急替代方案及量化补偿标准）得 5分；故障处理及补救措施内容完整、可实施，含响应时限、处置流程、补救措施等核心内容，措施基本具体，故障分类不清晰，无量化补偿方案。得3分；故障处理及补救措施仅明确大致响应时限及流程，无故障分类、应急方案及补偿方案，仅能处理一般故障。方案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15.技术证明材料.docx</w:t>
            </w:r>
          </w:p>
          <w:p>
            <w:pPr>
              <w:pStyle w:val="null3"/>
            </w:pPr>
            <w:r>
              <w:rPr>
                <w:rFonts w:ascii="仿宋_GB2312" w:hAnsi="仿宋_GB2312" w:cs="仿宋_GB2312" w:eastAsia="仿宋_GB2312"/>
              </w:rPr>
              <w:t>16.技术方案.docx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内容完整、可实施、有针对性（如验收方案验收依据明确，有量化验收清单，分阶段验收流程清晰、节点明确，有完整验收资料要求等）得 5分；内容完整、可实施，仅明确验收标准及大致流程，无详细清单、节点及分工；整改措施简略，得3分；方案基本完整，仅提供简单框架，明确大致验收内容及时间，无具体标准、流程，得1分；未提供不得分。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14.技术偏离表.docx</w:t>
            </w:r>
          </w:p>
          <w:p>
            <w:pPr>
              <w:pStyle w:val="null3"/>
            </w:pPr>
            <w:r>
              <w:rPr>
                <w:rFonts w:ascii="仿宋_GB2312" w:hAnsi="仿宋_GB2312" w:cs="仿宋_GB2312" w:eastAsia="仿宋_GB2312"/>
              </w:rPr>
              <w:t>15.技术证明材料.docx</w:t>
            </w:r>
          </w:p>
          <w:p>
            <w:pPr>
              <w:pStyle w:val="null3"/>
            </w:pPr>
            <w:r>
              <w:rPr>
                <w:rFonts w:ascii="仿宋_GB2312" w:hAnsi="仿宋_GB2312" w:cs="仿宋_GB2312" w:eastAsia="仿宋_GB2312"/>
              </w:rPr>
              <w:t>16.技术方案.docx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满足采购文件要求且最终响应报价最低的报价为评审基准价，其价格分为满分。其他供应商的价格分统一按照下列公式计算：响应报价得分=（评标基准价/最终响应报价）×价格权值 （小微企业、监狱企业或残疾人福利性单位用响应报价扣除后的价格参加评审。专门面向中小企业采购的项目不进行价格扣除。） （供应商需对其提供的产品出具《关于符合本国产品标准的声明函》(样式见附件，以下简称《声明函》)或财政部会同有关部门规定的有关证明文件。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19.磋商响应报价表.docx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上移下移编辑删除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19.磋商响应报价表.docx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详见附件：6.关于符合本国产品标准的声明函.docx</w:t>
      </w:r>
    </w:p>
    <w:p>
      <w:pPr>
        <w:pStyle w:val="null3"/>
        <w:ind w:firstLine="960"/>
      </w:pPr>
      <w:r>
        <w:rPr>
          <w:rFonts w:ascii="仿宋_GB2312" w:hAnsi="仿宋_GB2312" w:cs="仿宋_GB2312" w:eastAsia="仿宋_GB2312"/>
        </w:rPr>
        <w:t>详见附件：7.汉中市政府采购供应商资格承诺函.docx</w:t>
      </w:r>
    </w:p>
    <w:p>
      <w:pPr>
        <w:pStyle w:val="null3"/>
        <w:ind w:firstLine="960"/>
      </w:pPr>
      <w:r>
        <w:rPr>
          <w:rFonts w:ascii="仿宋_GB2312" w:hAnsi="仿宋_GB2312" w:cs="仿宋_GB2312" w:eastAsia="仿宋_GB2312"/>
        </w:rPr>
        <w:t>详见附件：8.特定资格证明文件.docx</w:t>
      </w:r>
    </w:p>
    <w:p>
      <w:pPr>
        <w:pStyle w:val="null3"/>
        <w:ind w:firstLine="960"/>
      </w:pPr>
      <w:r>
        <w:rPr>
          <w:rFonts w:ascii="仿宋_GB2312" w:hAnsi="仿宋_GB2312" w:cs="仿宋_GB2312" w:eastAsia="仿宋_GB2312"/>
        </w:rPr>
        <w:t>详见附件：11.分项报价表.docx</w:t>
      </w:r>
    </w:p>
    <w:p>
      <w:pPr>
        <w:pStyle w:val="null3"/>
        <w:ind w:firstLine="960"/>
      </w:pPr>
      <w:r>
        <w:rPr>
          <w:rFonts w:ascii="仿宋_GB2312" w:hAnsi="仿宋_GB2312" w:cs="仿宋_GB2312" w:eastAsia="仿宋_GB2312"/>
        </w:rPr>
        <w:t>详见附件：13.商务条款偏离表.docx</w:t>
      </w:r>
    </w:p>
    <w:p>
      <w:pPr>
        <w:pStyle w:val="null3"/>
        <w:ind w:firstLine="960"/>
      </w:pPr>
      <w:r>
        <w:rPr>
          <w:rFonts w:ascii="仿宋_GB2312" w:hAnsi="仿宋_GB2312" w:cs="仿宋_GB2312" w:eastAsia="仿宋_GB2312"/>
        </w:rPr>
        <w:t>详见附件：14.技术偏离表.docx</w:t>
      </w:r>
    </w:p>
    <w:p>
      <w:pPr>
        <w:pStyle w:val="null3"/>
        <w:ind w:firstLine="960"/>
      </w:pPr>
      <w:r>
        <w:rPr>
          <w:rFonts w:ascii="仿宋_GB2312" w:hAnsi="仿宋_GB2312" w:cs="仿宋_GB2312" w:eastAsia="仿宋_GB2312"/>
        </w:rPr>
        <w:t>详见附件：15.技术证明材料.docx</w:t>
      </w:r>
    </w:p>
    <w:p>
      <w:pPr>
        <w:pStyle w:val="null3"/>
        <w:ind w:firstLine="960"/>
      </w:pPr>
      <w:r>
        <w:rPr>
          <w:rFonts w:ascii="仿宋_GB2312" w:hAnsi="仿宋_GB2312" w:cs="仿宋_GB2312" w:eastAsia="仿宋_GB2312"/>
        </w:rPr>
        <w:t>详见附件：16.技术方案.docx</w:t>
      </w:r>
    </w:p>
    <w:p>
      <w:pPr>
        <w:pStyle w:val="null3"/>
        <w:ind w:firstLine="960"/>
      </w:pPr>
      <w:r>
        <w:rPr>
          <w:rFonts w:ascii="仿宋_GB2312" w:hAnsi="仿宋_GB2312" w:cs="仿宋_GB2312" w:eastAsia="仿宋_GB2312"/>
        </w:rPr>
        <w:t>详见附件：17.业绩一览表.docx</w:t>
      </w:r>
    </w:p>
    <w:p>
      <w:pPr>
        <w:pStyle w:val="null3"/>
        <w:ind w:firstLine="960"/>
      </w:pPr>
      <w:r>
        <w:rPr>
          <w:rFonts w:ascii="仿宋_GB2312" w:hAnsi="仿宋_GB2312" w:cs="仿宋_GB2312" w:eastAsia="仿宋_GB2312"/>
        </w:rPr>
        <w:t>详见附件：12new.磋商保证金支付凭证或保函.docx</w:t>
      </w:r>
    </w:p>
    <w:p>
      <w:pPr>
        <w:pStyle w:val="null3"/>
        <w:ind w:firstLine="960"/>
      </w:pPr>
      <w:r>
        <w:rPr>
          <w:rFonts w:ascii="仿宋_GB2312" w:hAnsi="仿宋_GB2312" w:cs="仿宋_GB2312" w:eastAsia="仿宋_GB2312"/>
        </w:rPr>
        <w:t>详见附件：19.磋商响应报价表.docx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