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8425F">
      <w:pPr>
        <w:pStyle w:val="4"/>
        <w:spacing w:line="360" w:lineRule="auto"/>
        <w:rPr>
          <w:rStyle w:val="7"/>
          <w:rFonts w:hint="default" w:ascii="Times New Roman" w:hAnsi="Times New Roman" w:eastAsia="宋体" w:cs="Times New Roman"/>
          <w:sz w:val="36"/>
          <w:szCs w:val="36"/>
        </w:rPr>
      </w:pPr>
      <w:bookmarkStart w:id="0" w:name="_Toc68590979"/>
      <w:r>
        <w:rPr>
          <w:rStyle w:val="7"/>
          <w:rFonts w:hint="default" w:ascii="Times New Roman" w:hAnsi="Times New Roman" w:eastAsia="宋体" w:cs="Times New Roman"/>
          <w:sz w:val="36"/>
          <w:szCs w:val="36"/>
        </w:rPr>
        <w:t xml:space="preserve">  </w:t>
      </w:r>
      <w:bookmarkEnd w:id="0"/>
      <w:r>
        <w:rPr>
          <w:rStyle w:val="7"/>
          <w:rFonts w:hint="default" w:ascii="Times New Roman" w:hAnsi="Times New Roman" w:eastAsia="宋体" w:cs="Times New Roman"/>
          <w:sz w:val="36"/>
          <w:szCs w:val="36"/>
        </w:rPr>
        <w:t>拟签订的合同文本</w:t>
      </w:r>
    </w:p>
    <w:p w14:paraId="716273BA">
      <w:pPr>
        <w:adjustRightInd w:val="0"/>
        <w:snapToGrid w:val="0"/>
        <w:spacing w:line="360" w:lineRule="auto"/>
        <w:ind w:firstLine="480" w:firstLineChars="200"/>
        <w:rPr>
          <w:rFonts w:hint="default" w:ascii="Times New Roman" w:hAnsi="Times New Roman" w:eastAsia="仿宋_GB2312" w:cs="Times New Roman"/>
          <w:sz w:val="24"/>
        </w:rPr>
      </w:pPr>
    </w:p>
    <w:p w14:paraId="376CDEE5">
      <w:pPr>
        <w:tabs>
          <w:tab w:val="left" w:pos="735"/>
        </w:tabs>
        <w:autoSpaceDE w:val="0"/>
        <w:autoSpaceDN w:val="0"/>
        <w:adjustRightInd w:val="0"/>
        <w:snapToGrid w:val="0"/>
        <w:spacing w:before="240" w:beforeLines="100" w:line="360" w:lineRule="auto"/>
        <w:rPr>
          <w:rFonts w:hint="default" w:ascii="Times New Roman" w:hAnsi="Times New Roman" w:eastAsia="仿宋_GB2312" w:cs="Times New Roman"/>
          <w:b/>
          <w:bCs/>
          <w:sz w:val="24"/>
          <w:lang w:val="zh-CN"/>
        </w:rPr>
      </w:pPr>
      <w:r>
        <w:rPr>
          <w:rFonts w:hint="default" w:ascii="Times New Roman" w:hAnsi="Times New Roman" w:eastAsia="仿宋_GB2312" w:cs="Times New Roman"/>
          <w:b/>
          <w:bCs/>
          <w:sz w:val="24"/>
          <w:lang w:val="zh-CN"/>
        </w:rPr>
        <w:t>甲方：</w:t>
      </w:r>
      <w:r>
        <w:rPr>
          <w:rFonts w:hint="default" w:ascii="Times New Roman" w:hAnsi="Times New Roman" w:eastAsia="仿宋_GB2312" w:cs="Times New Roman"/>
          <w:bCs/>
          <w:sz w:val="24"/>
          <w:lang w:val="zh-CN"/>
        </w:rPr>
        <w:t xml:space="preserve">（前款所称采购人）     </w:t>
      </w:r>
      <w:r>
        <w:rPr>
          <w:rFonts w:hint="default" w:ascii="Times New Roman" w:hAnsi="Times New Roman" w:eastAsia="仿宋_GB2312" w:cs="Times New Roman"/>
          <w:bCs/>
          <w:sz w:val="24"/>
        </w:rPr>
        <w:t xml:space="preserve">    </w:t>
      </w:r>
      <w:r>
        <w:rPr>
          <w:rFonts w:hint="default" w:ascii="Times New Roman" w:hAnsi="Times New Roman" w:eastAsia="仿宋_GB2312" w:cs="Times New Roman"/>
          <w:bCs/>
          <w:sz w:val="24"/>
          <w:lang w:val="zh-CN"/>
        </w:rPr>
        <w:t>住所：</w:t>
      </w:r>
    </w:p>
    <w:p w14:paraId="67F9FFB9">
      <w:pPr>
        <w:tabs>
          <w:tab w:val="left" w:pos="735"/>
        </w:tabs>
        <w:autoSpaceDE w:val="0"/>
        <w:autoSpaceDN w:val="0"/>
        <w:adjustRightInd w:val="0"/>
        <w:snapToGrid w:val="0"/>
        <w:spacing w:line="360" w:lineRule="auto"/>
        <w:rPr>
          <w:rFonts w:hint="default" w:ascii="Times New Roman" w:hAnsi="Times New Roman" w:eastAsia="仿宋_GB2312" w:cs="Times New Roman"/>
          <w:bCs/>
          <w:sz w:val="24"/>
          <w:lang w:val="zh-CN"/>
        </w:rPr>
      </w:pPr>
      <w:r>
        <w:rPr>
          <w:rFonts w:hint="default" w:ascii="Times New Roman" w:hAnsi="Times New Roman" w:eastAsia="仿宋_GB2312" w:cs="Times New Roman"/>
          <w:b/>
          <w:bCs/>
          <w:sz w:val="24"/>
          <w:lang w:val="zh-CN"/>
        </w:rPr>
        <w:t>乙方：</w:t>
      </w:r>
      <w:r>
        <w:rPr>
          <w:rFonts w:hint="default" w:ascii="Times New Roman" w:hAnsi="Times New Roman" w:eastAsia="仿宋_GB2312" w:cs="Times New Roman"/>
          <w:bCs/>
          <w:sz w:val="24"/>
          <w:lang w:val="zh-CN"/>
        </w:rPr>
        <w:t>（前款所称</w:t>
      </w:r>
      <w:r>
        <w:rPr>
          <w:rFonts w:hint="default" w:ascii="Times New Roman" w:hAnsi="Times New Roman" w:eastAsia="仿宋_GB2312" w:cs="Times New Roman"/>
          <w:bCs/>
          <w:sz w:val="24"/>
        </w:rPr>
        <w:t>成交供应商</w:t>
      </w:r>
      <w:r>
        <w:rPr>
          <w:rFonts w:hint="default" w:ascii="Times New Roman" w:hAnsi="Times New Roman" w:eastAsia="仿宋_GB2312" w:cs="Times New Roman"/>
          <w:bCs/>
          <w:sz w:val="24"/>
          <w:lang w:val="zh-CN"/>
        </w:rPr>
        <w:t>）     住所：</w:t>
      </w:r>
    </w:p>
    <w:p w14:paraId="7CDCB83C">
      <w:pPr>
        <w:adjustRightInd w:val="0"/>
        <w:snapToGrid w:val="0"/>
        <w:spacing w:line="360" w:lineRule="auto"/>
        <w:ind w:firstLine="480" w:firstLineChars="200"/>
        <w:rPr>
          <w:rFonts w:hint="default" w:ascii="Times New Roman" w:hAnsi="Times New Roman" w:eastAsia="仿宋_GB2312" w:cs="Times New Roman"/>
          <w:sz w:val="24"/>
        </w:rPr>
      </w:pPr>
      <w:bookmarkStart w:id="1" w:name="_Toc19515384"/>
      <w:r>
        <w:rPr>
          <w:rFonts w:hint="default" w:ascii="Times New Roman" w:hAnsi="Times New Roman" w:eastAsia="仿宋_GB2312" w:cs="Times New Roman"/>
          <w:sz w:val="24"/>
        </w:rPr>
        <w:t>一、合同内容（标的、数量、质量等）</w:t>
      </w:r>
      <w:bookmarkEnd w:id="1"/>
      <w:r>
        <w:rPr>
          <w:rFonts w:hint="default" w:ascii="Times New Roman" w:hAnsi="Times New Roman" w:eastAsia="仿宋_GB2312" w:cs="Times New Roman"/>
          <w:sz w:val="24"/>
        </w:rPr>
        <w:t>：</w:t>
      </w:r>
    </w:p>
    <w:p w14:paraId="51B491D1">
      <w:pPr>
        <w:adjustRightInd w:val="0"/>
        <w:snapToGrid w:val="0"/>
        <w:spacing w:line="360" w:lineRule="auto"/>
        <w:ind w:firstLine="480" w:firstLineChars="200"/>
        <w:rPr>
          <w:rFonts w:hint="default" w:ascii="Times New Roman" w:hAnsi="Times New Roman" w:eastAsia="仿宋_GB2312" w:cs="Times New Roman"/>
          <w:sz w:val="24"/>
        </w:rPr>
      </w:pPr>
      <w:bookmarkStart w:id="2" w:name="_Toc19515385"/>
      <w:r>
        <w:rPr>
          <w:rFonts w:hint="default" w:ascii="Times New Roman" w:hAnsi="Times New Roman" w:eastAsia="仿宋_GB2312" w:cs="Times New Roman"/>
          <w:sz w:val="24"/>
        </w:rPr>
        <w:t>二、合同价款</w:t>
      </w:r>
      <w:bookmarkEnd w:id="2"/>
    </w:p>
    <w:p w14:paraId="59F148C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1、合同总价：</w:t>
      </w:r>
    </w:p>
    <w:p w14:paraId="6739E64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2、合同总价包括：</w:t>
      </w:r>
    </w:p>
    <w:p w14:paraId="0A0EA0E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3、合同为固定总价合同，不受市场价变化的影响。</w:t>
      </w:r>
    </w:p>
    <w:p w14:paraId="47514014">
      <w:pPr>
        <w:adjustRightInd w:val="0"/>
        <w:snapToGrid w:val="0"/>
        <w:spacing w:line="360" w:lineRule="auto"/>
        <w:ind w:firstLine="480" w:firstLineChars="200"/>
        <w:rPr>
          <w:rFonts w:hint="default" w:ascii="Times New Roman" w:hAnsi="Times New Roman" w:eastAsia="仿宋_GB2312" w:cs="Times New Roman"/>
          <w:sz w:val="24"/>
        </w:rPr>
      </w:pPr>
      <w:bookmarkStart w:id="3" w:name="_Toc19515386"/>
      <w:r>
        <w:rPr>
          <w:rFonts w:hint="default" w:ascii="Times New Roman" w:hAnsi="Times New Roman" w:eastAsia="仿宋_GB2312" w:cs="Times New Roman"/>
          <w:sz w:val="24"/>
        </w:rPr>
        <w:t>三、合同结算</w:t>
      </w:r>
      <w:bookmarkEnd w:id="3"/>
    </w:p>
    <w:p w14:paraId="1EF90BF5">
      <w:pPr>
        <w:adjustRightInd w:val="0"/>
        <w:snapToGrid w:val="0"/>
        <w:spacing w:line="360" w:lineRule="auto"/>
        <w:ind w:firstLine="480" w:firstLineChars="200"/>
        <w:rPr>
          <w:rFonts w:hint="default" w:ascii="Times New Roman" w:hAnsi="Times New Roman" w:eastAsia="仿宋_GB2312" w:cs="Times New Roman"/>
          <w:sz w:val="24"/>
          <w:lang w:eastAsia="zh-CN"/>
        </w:rPr>
      </w:pPr>
      <w:bookmarkStart w:id="4" w:name="_Toc19515387"/>
      <w:r>
        <w:rPr>
          <w:rFonts w:hint="default" w:ascii="Times New Roman" w:hAnsi="Times New Roman" w:eastAsia="仿宋_GB2312" w:cs="Times New Roman"/>
          <w:sz w:val="24"/>
        </w:rPr>
        <w:t>1、付款比例：</w:t>
      </w:r>
      <w:r>
        <w:rPr>
          <w:rFonts w:hint="default" w:ascii="Times New Roman" w:hAnsi="Times New Roman" w:eastAsia="仿宋_GB2312" w:cs="Times New Roman"/>
          <w:sz w:val="24"/>
          <w:lang w:eastAsia="zh-CN"/>
        </w:rPr>
        <w:t>采购包1： 付款条件说明： 合同签订后支付合同金额 ，达到付款条件起 15 日内，支付合同总金额的 60.00%。</w:t>
      </w:r>
    </w:p>
    <w:p w14:paraId="60A0FC42">
      <w:pPr>
        <w:adjustRightInd w:val="0"/>
        <w:snapToGrid w:val="0"/>
        <w:spacing w:line="360" w:lineRule="auto"/>
        <w:ind w:firstLine="480" w:firstLineChars="200"/>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采购包1： 付款条件说明： 根据完成进度支付 ，达到付款条件起 15 日内，支付合同总金额的 30.00%。</w:t>
      </w:r>
    </w:p>
    <w:p w14:paraId="5C5CBE2E">
      <w:pPr>
        <w:adjustRightInd w:val="0"/>
        <w:snapToGrid w:val="0"/>
        <w:spacing w:line="360" w:lineRule="auto"/>
        <w:ind w:firstLine="480" w:firstLineChars="200"/>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采购包1： 付款条件说明： 验收合格后支付全部合同款项，验收以采购人组织或其委托的检验机构出具的检验结论为准。 ，达到付款条件起 15 日内，支付合同总金额的 10.00%。</w:t>
      </w:r>
    </w:p>
    <w:p w14:paraId="40AEB8DA">
      <w:pPr>
        <w:numPr>
          <w:ilvl w:val="0"/>
          <w:numId w:val="1"/>
        </w:numPr>
        <w:adjustRightInd w:val="0"/>
        <w:snapToGrid w:val="0"/>
        <w:spacing w:line="360" w:lineRule="auto"/>
        <w:ind w:firstLine="480" w:firstLineChars="200"/>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结算方式：银行转账。</w:t>
      </w:r>
    </w:p>
    <w:p w14:paraId="2BCF4C43">
      <w:pPr>
        <w:numPr>
          <w:ilvl w:val="0"/>
          <w:numId w:val="1"/>
        </w:numPr>
        <w:adjustRightInd w:val="0"/>
        <w:snapToGrid w:val="0"/>
        <w:spacing w:line="360" w:lineRule="auto"/>
        <w:ind w:firstLine="480" w:firstLineChars="200"/>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3、结算单位：由         负责结算，乙方开具合同总价数的全额发票交采购人。</w:t>
      </w:r>
    </w:p>
    <w:p w14:paraId="22DD679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四、履行期限、地点及方式</w:t>
      </w:r>
      <w:bookmarkEnd w:id="4"/>
      <w:r>
        <w:rPr>
          <w:rFonts w:hint="default" w:ascii="Times New Roman" w:hAnsi="Times New Roman" w:eastAsia="仿宋_GB2312" w:cs="Times New Roman"/>
          <w:sz w:val="24"/>
        </w:rPr>
        <w:t>：</w:t>
      </w:r>
    </w:p>
    <w:p w14:paraId="1E79F0F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1、履行期限：合同签订之日起30日历日内完成安装、制作、运输，并调试完成。</w:t>
      </w:r>
    </w:p>
    <w:p w14:paraId="08DDD71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2、地点：采购人指定地点。</w:t>
      </w:r>
    </w:p>
    <w:p w14:paraId="15D8190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3、方式：</w:t>
      </w:r>
      <w:r>
        <w:rPr>
          <w:rFonts w:hint="default" w:ascii="Times New Roman" w:hAnsi="Times New Roman" w:eastAsia="仿宋_GB2312" w:cs="Times New Roman"/>
          <w:sz w:val="24"/>
        </w:rPr>
        <w:t>采购人指定</w:t>
      </w:r>
      <w:r>
        <w:rPr>
          <w:rFonts w:hint="eastAsia" w:ascii="Times New Roman" w:hAnsi="Times New Roman" w:eastAsia="仿宋_GB2312" w:cs="Times New Roman"/>
          <w:sz w:val="24"/>
          <w:lang w:val="en-US" w:eastAsia="zh-CN"/>
        </w:rPr>
        <w:t>方式</w:t>
      </w:r>
      <w:r>
        <w:rPr>
          <w:rFonts w:hint="default" w:ascii="Times New Roman" w:hAnsi="Times New Roman" w:eastAsia="仿宋_GB2312" w:cs="Times New Roman"/>
          <w:sz w:val="24"/>
        </w:rPr>
        <w:t>。</w:t>
      </w:r>
    </w:p>
    <w:p w14:paraId="4A7D898C">
      <w:pPr>
        <w:adjustRightInd w:val="0"/>
        <w:snapToGrid w:val="0"/>
        <w:spacing w:line="360" w:lineRule="auto"/>
        <w:ind w:firstLine="480" w:firstLineChars="200"/>
        <w:rPr>
          <w:rFonts w:hint="default" w:ascii="Times New Roman" w:hAnsi="Times New Roman" w:eastAsia="仿宋_GB2312" w:cs="Times New Roman"/>
          <w:sz w:val="24"/>
        </w:rPr>
      </w:pPr>
      <w:bookmarkStart w:id="5" w:name="_Toc19515390"/>
      <w:r>
        <w:rPr>
          <w:rFonts w:hint="default" w:ascii="Times New Roman" w:hAnsi="Times New Roman" w:eastAsia="仿宋_GB2312" w:cs="Times New Roman"/>
          <w:sz w:val="24"/>
        </w:rPr>
        <w:t>五、技术服务</w:t>
      </w:r>
      <w:bookmarkEnd w:id="5"/>
    </w:p>
    <w:p w14:paraId="518B18E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1、对技术服务的要求：</w:t>
      </w:r>
      <w:bookmarkStart w:id="11" w:name="_GoBack"/>
      <w:bookmarkEnd w:id="11"/>
    </w:p>
    <w:p w14:paraId="26F946E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2、技术资料：</w:t>
      </w:r>
    </w:p>
    <w:p w14:paraId="4070C82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3、技术培训：</w:t>
      </w:r>
    </w:p>
    <w:p w14:paraId="044C383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3-1、培训内容：</w:t>
      </w:r>
    </w:p>
    <w:p w14:paraId="63F2B37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3-2、培训地点：</w:t>
      </w:r>
    </w:p>
    <w:p w14:paraId="2E1FE3E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3-3、培训时间：</w:t>
      </w:r>
    </w:p>
    <w:p w14:paraId="1D22ABE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3-4、培训人数：</w:t>
      </w:r>
    </w:p>
    <w:p w14:paraId="7A620FB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3-5、培训费用：受训人员的食宿费、资料费、培训场地费、耗材（包括水电费等）费等已包含在合同总价中，甲方不再另行支付。</w:t>
      </w:r>
    </w:p>
    <w:p w14:paraId="3A53438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4、售后服务</w:t>
      </w:r>
    </w:p>
    <w:p w14:paraId="5D580F0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4-1、乙方在接到甲方电话通知后在</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小时内派出合格的服务人员到达现场进行服务，承担相应费用。</w:t>
      </w:r>
    </w:p>
    <w:p w14:paraId="43EA968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4-2、如果乙方在收到通知后两天内没有弥补缺陷，甲方可采取必要的补救措施，但其风险和费用将由乙方承担，甲方根据合同规定对乙方行使的其它权力不受影响。</w:t>
      </w:r>
    </w:p>
    <w:p w14:paraId="734F81C0">
      <w:pPr>
        <w:adjustRightInd w:val="0"/>
        <w:snapToGrid w:val="0"/>
        <w:spacing w:line="360" w:lineRule="auto"/>
        <w:ind w:firstLine="480" w:firstLineChars="200"/>
        <w:rPr>
          <w:rFonts w:hint="default" w:ascii="Times New Roman" w:hAnsi="Times New Roman" w:eastAsia="仿宋_GB2312" w:cs="Times New Roman"/>
          <w:sz w:val="24"/>
        </w:rPr>
      </w:pPr>
      <w:bookmarkStart w:id="6" w:name="_Toc19515391"/>
      <w:r>
        <w:rPr>
          <w:rFonts w:hint="default" w:ascii="Times New Roman" w:hAnsi="Times New Roman" w:eastAsia="仿宋_GB2312" w:cs="Times New Roman"/>
          <w:sz w:val="24"/>
        </w:rPr>
        <w:t>六、验收</w:t>
      </w:r>
      <w:bookmarkEnd w:id="6"/>
    </w:p>
    <w:p w14:paraId="53233D1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1、验收：乙方完成服务内容后，向甲方提出验收申请，甲方接到乙方验收申请后组织验收（必要时可聘请相应专家或委托相应部门验收），验收合格后，出具使用验收合格证明。</w:t>
      </w:r>
    </w:p>
    <w:p w14:paraId="2DD51FC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2、最终验收：最终验收结果作为付款依据，乙方填写验收单，并向甲方提交实施过程中的所有资料，以便甲方日后管理和维护。</w:t>
      </w:r>
    </w:p>
    <w:p w14:paraId="2EBE185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3、质保期满后：由乙方出具质保期运行质量报告，若存在质量问题，应按相应规定协商处理。</w:t>
      </w:r>
    </w:p>
    <w:p w14:paraId="48AA8E2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本项目质保期为</w:t>
      </w:r>
      <w:r>
        <w:rPr>
          <w:rFonts w:hint="eastAsia" w:eastAsia="仿宋_GB2312" w:cs="Times New Roman"/>
          <w:sz w:val="24"/>
          <w:lang w:val="en-US" w:eastAsia="zh-CN"/>
        </w:rPr>
        <w:t>2</w:t>
      </w:r>
      <w:r>
        <w:rPr>
          <w:rFonts w:hint="default" w:ascii="Times New Roman" w:hAnsi="Times New Roman" w:eastAsia="仿宋_GB2312" w:cs="Times New Roman"/>
          <w:sz w:val="24"/>
        </w:rPr>
        <w:t>年，时间自本项目整体验收合格之日起计算。在质保期内，乙方负责对产品进行免费维修、更换及保养，确保其正常使用</w:t>
      </w:r>
      <w:r>
        <w:rPr>
          <w:rFonts w:hint="eastAsia" w:eastAsia="仿宋_GB2312" w:cs="Times New Roman"/>
          <w:sz w:val="24"/>
          <w:lang w:eastAsia="zh-CN"/>
        </w:rPr>
        <w:t>（</w:t>
      </w:r>
      <w:r>
        <w:rPr>
          <w:rFonts w:hint="eastAsia" w:eastAsia="仿宋_GB2312" w:cs="Times New Roman"/>
          <w:sz w:val="24"/>
          <w:lang w:val="en-US" w:eastAsia="zh-CN"/>
        </w:rPr>
        <w:t>包括软件、硬件及整体货物</w:t>
      </w:r>
      <w:r>
        <w:rPr>
          <w:rFonts w:hint="eastAsia" w:eastAsia="仿宋_GB2312" w:cs="Times New Roman"/>
          <w:sz w:val="24"/>
          <w:lang w:eastAsia="zh-CN"/>
        </w:rPr>
        <w:t>）</w:t>
      </w:r>
      <w:r>
        <w:rPr>
          <w:rFonts w:hint="default" w:ascii="Times New Roman" w:hAnsi="Times New Roman" w:eastAsia="仿宋_GB2312" w:cs="Times New Roman"/>
          <w:sz w:val="24"/>
        </w:rPr>
        <w:t>。</w:t>
      </w:r>
    </w:p>
    <w:p w14:paraId="0B7D841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4、验收依据：</w:t>
      </w:r>
    </w:p>
    <w:p w14:paraId="5E2E5B5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4-1、合同文本、合同附件、竞争性磋商文件、成交供应商的响应文件。</w:t>
      </w:r>
    </w:p>
    <w:p w14:paraId="1CA6EA9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4-2、国内相应的标准、规范。</w:t>
      </w:r>
    </w:p>
    <w:p w14:paraId="209189DC">
      <w:pPr>
        <w:adjustRightInd w:val="0"/>
        <w:snapToGrid w:val="0"/>
        <w:spacing w:line="360" w:lineRule="auto"/>
        <w:ind w:firstLine="480" w:firstLineChars="200"/>
        <w:rPr>
          <w:rFonts w:hint="default" w:ascii="Times New Roman" w:hAnsi="Times New Roman" w:eastAsia="仿宋_GB2312" w:cs="Times New Roman"/>
          <w:sz w:val="24"/>
        </w:rPr>
      </w:pPr>
      <w:bookmarkStart w:id="7" w:name="_Toc19515392"/>
      <w:r>
        <w:rPr>
          <w:rFonts w:hint="eastAsia" w:eastAsia="仿宋_GB2312" w:cs="Times New Roman"/>
          <w:sz w:val="24"/>
          <w:lang w:val="en-US" w:eastAsia="zh-CN"/>
        </w:rPr>
        <w:t>七</w:t>
      </w:r>
      <w:r>
        <w:rPr>
          <w:rFonts w:hint="default" w:ascii="Times New Roman" w:hAnsi="Times New Roman" w:eastAsia="仿宋_GB2312" w:cs="Times New Roman"/>
          <w:sz w:val="24"/>
        </w:rPr>
        <w:t>、违约责任</w:t>
      </w:r>
      <w:bookmarkEnd w:id="7"/>
    </w:p>
    <w:p w14:paraId="7139539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1、按《中华人民共和国民法典》中的相关条款执行。</w:t>
      </w:r>
    </w:p>
    <w:p w14:paraId="64F370D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2、乙方履约延误</w:t>
      </w:r>
    </w:p>
    <w:p w14:paraId="61AC672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2-1、如乙方事先未征得甲方同意并得到甲方的谅解而单方面延迟执行合同，将按违约终止合同。</w:t>
      </w:r>
    </w:p>
    <w:p w14:paraId="75983BB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04BD89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3、违约终止合同：未按合同要求提供服务或不能满足技术要求，甲方会同监督机构有权终止合同，对乙方违约行为进行追究，同时按政府采购法的有关规定进行相应的处罚。</w:t>
      </w:r>
    </w:p>
    <w:p w14:paraId="689387FD">
      <w:pPr>
        <w:adjustRightInd w:val="0"/>
        <w:snapToGrid w:val="0"/>
        <w:spacing w:line="360" w:lineRule="auto"/>
        <w:ind w:firstLine="480" w:firstLineChars="200"/>
        <w:rPr>
          <w:rFonts w:hint="default" w:ascii="Times New Roman" w:hAnsi="Times New Roman" w:eastAsia="仿宋_GB2312" w:cs="Times New Roman"/>
          <w:sz w:val="24"/>
        </w:rPr>
      </w:pPr>
      <w:bookmarkStart w:id="8" w:name="_Toc19515393"/>
      <w:r>
        <w:rPr>
          <w:rFonts w:hint="eastAsia" w:eastAsia="仿宋_GB2312" w:cs="Times New Roman"/>
          <w:sz w:val="24"/>
          <w:lang w:val="en-US" w:eastAsia="zh-CN"/>
        </w:rPr>
        <w:t>八</w:t>
      </w:r>
      <w:r>
        <w:rPr>
          <w:rFonts w:hint="default" w:ascii="Times New Roman" w:hAnsi="Times New Roman" w:eastAsia="仿宋_GB2312" w:cs="Times New Roman"/>
          <w:sz w:val="24"/>
        </w:rPr>
        <w:t>、合同组成</w:t>
      </w:r>
      <w:bookmarkEnd w:id="8"/>
    </w:p>
    <w:p w14:paraId="50297AC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1、成交通知书</w:t>
      </w:r>
    </w:p>
    <w:p w14:paraId="792DE93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2、合同文件</w:t>
      </w:r>
    </w:p>
    <w:p w14:paraId="00499202">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3、国家相关规范及标准</w:t>
      </w:r>
    </w:p>
    <w:p w14:paraId="0FA0859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4、竞争性磋商文件</w:t>
      </w:r>
    </w:p>
    <w:p w14:paraId="0DEC26D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5、成交供应商的响应文件</w:t>
      </w:r>
    </w:p>
    <w:p w14:paraId="0F2195D3">
      <w:pPr>
        <w:adjustRightInd w:val="0"/>
        <w:snapToGrid w:val="0"/>
        <w:spacing w:line="360" w:lineRule="auto"/>
        <w:ind w:firstLine="480" w:firstLineChars="200"/>
        <w:rPr>
          <w:rFonts w:hint="default" w:ascii="Times New Roman" w:hAnsi="Times New Roman" w:eastAsia="仿宋_GB2312" w:cs="Times New Roman"/>
          <w:sz w:val="24"/>
        </w:rPr>
      </w:pPr>
      <w:bookmarkStart w:id="9" w:name="_Toc19515394"/>
      <w:r>
        <w:rPr>
          <w:rFonts w:hint="eastAsia" w:eastAsia="仿宋_GB2312" w:cs="Times New Roman"/>
          <w:sz w:val="24"/>
          <w:lang w:val="en-US" w:eastAsia="zh-CN"/>
        </w:rPr>
        <w:t>九</w:t>
      </w:r>
      <w:r>
        <w:rPr>
          <w:rFonts w:hint="default" w:ascii="Times New Roman" w:hAnsi="Times New Roman" w:eastAsia="仿宋_GB2312" w:cs="Times New Roman"/>
          <w:sz w:val="24"/>
        </w:rPr>
        <w:t>、解决争议的方法</w:t>
      </w:r>
      <w:bookmarkEnd w:id="9"/>
    </w:p>
    <w:p w14:paraId="3281D2A9">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凡因本合同引起的或与本合同有关的争议，双方应友好协商解决。协商不成时，双方均同意采用以下第（  ）种争议解决方式：</w:t>
      </w:r>
    </w:p>
    <w:p w14:paraId="1DB442FC">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1、甲、乙双方均同意向（甲方所在地人民法院）提起诉讼。</w:t>
      </w:r>
    </w:p>
    <w:p w14:paraId="2793AAF5">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2、甲、乙双方均同意向（</w:t>
      </w:r>
      <w:r>
        <w:rPr>
          <w:rFonts w:hint="default" w:ascii="Times New Roman" w:hAnsi="Times New Roman" w:cs="Times New Roman"/>
        </w:rPr>
        <w:fldChar w:fldCharType="begin"/>
      </w:r>
      <w:r>
        <w:rPr>
          <w:rFonts w:hint="default" w:ascii="Times New Roman" w:hAnsi="Times New Roman" w:cs="Times New Roman"/>
        </w:rPr>
        <w:instrText xml:space="preserve"> HYPERLINK "http://www.baidu.com/s?wd=%E4%BB%B2%E8%A3%81%E5%A7%94%E5%91%98%E4%BC%9A&amp;tn=SE_PcZhidaonwhc_ngpagmjz&amp;rsv_dl=gh_pc_zhidao" \t "_blank"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4"/>
        </w:rPr>
        <w:t>仲裁委员会</w:t>
      </w:r>
      <w:r>
        <w:rPr>
          <w:rFonts w:hint="default" w:ascii="Times New Roman" w:hAnsi="Times New Roman" w:eastAsia="仿宋_GB2312" w:cs="Times New Roman"/>
          <w:kern w:val="0"/>
          <w:sz w:val="24"/>
        </w:rPr>
        <w:fldChar w:fldCharType="end"/>
      </w:r>
      <w:r>
        <w:rPr>
          <w:rFonts w:hint="default" w:ascii="Times New Roman" w:hAnsi="Times New Roman" w:eastAsia="仿宋_GB2312" w:cs="Times New Roman"/>
          <w:kern w:val="0"/>
          <w:sz w:val="24"/>
        </w:rPr>
        <w:t>）提起仲裁。</w:t>
      </w:r>
    </w:p>
    <w:p w14:paraId="35FB2F83">
      <w:pPr>
        <w:adjustRightInd w:val="0"/>
        <w:snapToGrid w:val="0"/>
        <w:spacing w:line="360" w:lineRule="auto"/>
        <w:ind w:firstLine="480" w:firstLineChars="200"/>
        <w:rPr>
          <w:rFonts w:hint="default" w:ascii="Times New Roman" w:hAnsi="Times New Roman" w:eastAsia="仿宋_GB2312" w:cs="Times New Roman"/>
          <w:sz w:val="24"/>
        </w:rPr>
      </w:pPr>
      <w:bookmarkStart w:id="10" w:name="_Toc19515395"/>
      <w:r>
        <w:rPr>
          <w:rFonts w:hint="default" w:ascii="Times New Roman" w:hAnsi="Times New Roman" w:eastAsia="仿宋_GB2312" w:cs="Times New Roman"/>
          <w:sz w:val="24"/>
        </w:rPr>
        <w:t>十、合同生效及其它</w:t>
      </w:r>
      <w:bookmarkEnd w:id="10"/>
    </w:p>
    <w:p w14:paraId="6773DC77">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1、合同未尽事宜、由甲、乙双方协商，作为合同补充，与原合同具有同等法律效力。</w:t>
      </w:r>
    </w:p>
    <w:p w14:paraId="76AD6572">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 本合同正本一式</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份，甲方、乙方双方分别执</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备案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p>
    <w:p w14:paraId="6D69CC5D">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3、合同经甲乙双方盖章、签字后生效，合同签订地点为</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w:t>
      </w:r>
    </w:p>
    <w:p w14:paraId="7B572F79">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4、生效时间：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55A018F1">
      <w:pPr>
        <w:widowControl/>
        <w:tabs>
          <w:tab w:val="left" w:pos="8391"/>
        </w:tabs>
        <w:autoSpaceDE w:val="0"/>
        <w:autoSpaceDN w:val="0"/>
        <w:snapToGrid w:val="0"/>
        <w:spacing w:line="360" w:lineRule="auto"/>
        <w:ind w:right="-69" w:firstLine="840" w:firstLineChars="350"/>
        <w:textAlignment w:val="bottom"/>
        <w:rPr>
          <w:rFonts w:hint="default" w:ascii="Times New Roman" w:hAnsi="Times New Roman" w:eastAsia="仿宋_GB2312" w:cs="Times New Roman"/>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3192BA3F">
        <w:tblPrEx>
          <w:tblCellMar>
            <w:top w:w="0" w:type="dxa"/>
            <w:left w:w="108" w:type="dxa"/>
            <w:bottom w:w="0" w:type="dxa"/>
            <w:right w:w="108" w:type="dxa"/>
          </w:tblCellMar>
        </w:tblPrEx>
        <w:trPr>
          <w:jc w:val="center"/>
        </w:trPr>
        <w:tc>
          <w:tcPr>
            <w:tcW w:w="4643" w:type="dxa"/>
          </w:tcPr>
          <w:p w14:paraId="70DBF832">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甲方名称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4C49C0B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0456030E">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3876C488">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240AF1B1">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312FC5D9">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c>
          <w:tcPr>
            <w:tcW w:w="4643" w:type="dxa"/>
          </w:tcPr>
          <w:p w14:paraId="0EA0FEBF">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乙方名称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3C8ACFCC">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226B6B11">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637A3D4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5E13F06D">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3F32D27F">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r>
    </w:tbl>
    <w:p w14:paraId="2576800A">
      <w:pPr>
        <w:autoSpaceDE w:val="0"/>
        <w:autoSpaceDN w:val="0"/>
        <w:adjustRightInd w:val="0"/>
        <w:spacing w:line="360" w:lineRule="auto"/>
        <w:jc w:val="left"/>
        <w:rPr>
          <w:rFonts w:hint="default" w:ascii="Times New Roman" w:hAnsi="Times New Roman" w:eastAsia="仿宋_GB2312" w:cs="Times New Roman"/>
          <w:b/>
          <w:bCs/>
          <w:sz w:val="32"/>
          <w:szCs w:val="32"/>
        </w:rPr>
      </w:pPr>
    </w:p>
    <w:p w14:paraId="1B2AE679">
      <w:pPr>
        <w:autoSpaceDE w:val="0"/>
        <w:autoSpaceDN w:val="0"/>
        <w:adjustRightInd w:val="0"/>
        <w:jc w:val="left"/>
        <w:rPr>
          <w:rFonts w:hint="default" w:ascii="Times New Roman" w:hAnsi="Times New Roman" w:eastAsia="仿宋_GB2312" w:cs="Times New Roman"/>
          <w:b/>
          <w:bCs/>
          <w:sz w:val="32"/>
          <w:szCs w:val="32"/>
        </w:rPr>
      </w:pPr>
    </w:p>
    <w:p w14:paraId="4E4B4007">
      <w:pPr>
        <w:pStyle w:val="2"/>
        <w:rPr>
          <w:rFonts w:hint="default" w:ascii="Times New Roman" w:hAnsi="Times New Roman" w:eastAsia="仿宋_GB2312" w:cs="Times New Roman"/>
        </w:rPr>
      </w:pPr>
    </w:p>
    <w:p w14:paraId="10111399">
      <w:pPr>
        <w:rPr>
          <w:rFonts w:hint="default" w:ascii="Times New Roman" w:hAnsi="Times New Roman" w:eastAsia="仿宋_GB2312" w:cs="Times New Roman"/>
          <w:sz w:val="24"/>
        </w:rPr>
      </w:pPr>
      <w:r>
        <w:rPr>
          <w:rFonts w:hint="default" w:ascii="Times New Roman" w:hAnsi="Times New Roman" w:eastAsia="仿宋_GB2312" w:cs="Times New Roman"/>
          <w:sz w:val="24"/>
        </w:rPr>
        <w:br w:type="page"/>
      </w:r>
    </w:p>
    <w:p w14:paraId="1F652D4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合同附件1：</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0D0AB9EF">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3738EEE">
            <w:pPr>
              <w:widowControl/>
              <w:jc w:val="center"/>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政府采购项目货物（服务）验收入库报告单</w:t>
            </w:r>
          </w:p>
        </w:tc>
      </w:tr>
      <w:tr w14:paraId="3F467F72">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5A9D7A2">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48A4E7C9">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55CA62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B8C619E">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2CDA7A1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74B14EB5">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77AFDEF">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D29C4F2">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1CA0BC56">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合同金额</w:t>
            </w:r>
          </w:p>
        </w:tc>
        <w:tc>
          <w:tcPr>
            <w:tcW w:w="1248" w:type="pct"/>
            <w:tcBorders>
              <w:top w:val="nil"/>
              <w:left w:val="nil"/>
              <w:bottom w:val="single" w:color="auto" w:sz="4" w:space="0"/>
              <w:right w:val="single" w:color="auto" w:sz="8" w:space="0"/>
            </w:tcBorders>
            <w:noWrap/>
            <w:vAlign w:val="center"/>
          </w:tcPr>
          <w:p w14:paraId="55DB0F83">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w:t>
            </w:r>
          </w:p>
        </w:tc>
      </w:tr>
      <w:tr w14:paraId="60775E10">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3EF359C2">
            <w:pPr>
              <w:widowControl/>
              <w:jc w:val="left"/>
              <w:rPr>
                <w:rFonts w:hint="default" w:ascii="Times New Roman" w:hAnsi="Times New Roman" w:eastAsia="仿宋_GB2312" w:cs="Times New Roman"/>
                <w:b/>
                <w:bCs/>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3F8461AF">
            <w:pPr>
              <w:widowControl/>
              <w:jc w:val="left"/>
              <w:rPr>
                <w:rFonts w:hint="default" w:ascii="Times New Roman" w:hAnsi="Times New Roman" w:eastAsia="仿宋_GB2312" w:cs="Times New Roman"/>
                <w:kern w:val="0"/>
                <w:sz w:val="24"/>
              </w:rPr>
            </w:pPr>
          </w:p>
        </w:tc>
        <w:tc>
          <w:tcPr>
            <w:tcW w:w="1481" w:type="pct"/>
            <w:tcBorders>
              <w:top w:val="nil"/>
              <w:left w:val="nil"/>
              <w:bottom w:val="single" w:color="auto" w:sz="4" w:space="0"/>
              <w:right w:val="single" w:color="auto" w:sz="4" w:space="0"/>
            </w:tcBorders>
            <w:noWrap/>
            <w:vAlign w:val="center"/>
          </w:tcPr>
          <w:p w14:paraId="3E47D1FC">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验收时间/地点</w:t>
            </w:r>
          </w:p>
        </w:tc>
        <w:tc>
          <w:tcPr>
            <w:tcW w:w="1248" w:type="pct"/>
            <w:tcBorders>
              <w:top w:val="nil"/>
              <w:left w:val="nil"/>
              <w:bottom w:val="single" w:color="auto" w:sz="4" w:space="0"/>
              <w:right w:val="single" w:color="auto" w:sz="8" w:space="0"/>
            </w:tcBorders>
            <w:noWrap/>
            <w:vAlign w:val="center"/>
          </w:tcPr>
          <w:p w14:paraId="3CC90D7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2003FCC4">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438473FF">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115AFD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13F43FC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7945C70">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开户行</w:t>
            </w:r>
          </w:p>
        </w:tc>
        <w:tc>
          <w:tcPr>
            <w:tcW w:w="1349" w:type="pct"/>
            <w:tcBorders>
              <w:top w:val="nil"/>
              <w:left w:val="nil"/>
              <w:bottom w:val="single" w:color="auto" w:sz="4" w:space="0"/>
              <w:right w:val="single" w:color="auto" w:sz="4" w:space="0"/>
            </w:tcBorders>
            <w:noWrap/>
            <w:vAlign w:val="center"/>
          </w:tcPr>
          <w:p w14:paraId="47547A9C">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7B5C911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账号</w:t>
            </w:r>
          </w:p>
        </w:tc>
        <w:tc>
          <w:tcPr>
            <w:tcW w:w="1248" w:type="pct"/>
            <w:tcBorders>
              <w:top w:val="nil"/>
              <w:left w:val="nil"/>
              <w:bottom w:val="single" w:color="auto" w:sz="4" w:space="0"/>
              <w:right w:val="single" w:color="auto" w:sz="8" w:space="0"/>
            </w:tcBorders>
            <w:noWrap/>
            <w:vAlign w:val="center"/>
          </w:tcPr>
          <w:p w14:paraId="483D518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5F9F4C3">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107D72CC">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联系人</w:t>
            </w:r>
          </w:p>
        </w:tc>
        <w:tc>
          <w:tcPr>
            <w:tcW w:w="1349" w:type="pct"/>
            <w:tcBorders>
              <w:top w:val="nil"/>
              <w:left w:val="nil"/>
              <w:bottom w:val="nil"/>
              <w:right w:val="single" w:color="auto" w:sz="4" w:space="0"/>
            </w:tcBorders>
            <w:noWrap/>
            <w:vAlign w:val="center"/>
          </w:tcPr>
          <w:p w14:paraId="54E66493">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nil"/>
              <w:right w:val="single" w:color="auto" w:sz="4" w:space="0"/>
            </w:tcBorders>
            <w:noWrap/>
            <w:vAlign w:val="center"/>
          </w:tcPr>
          <w:p w14:paraId="7E0E7D4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电话</w:t>
            </w:r>
          </w:p>
        </w:tc>
        <w:tc>
          <w:tcPr>
            <w:tcW w:w="1248" w:type="pct"/>
            <w:tcBorders>
              <w:top w:val="nil"/>
              <w:left w:val="nil"/>
              <w:bottom w:val="nil"/>
              <w:right w:val="single" w:color="auto" w:sz="8" w:space="0"/>
            </w:tcBorders>
            <w:noWrap/>
            <w:vAlign w:val="center"/>
          </w:tcPr>
          <w:p w14:paraId="19772EB4">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6275F289">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43AF154B">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28C79E92">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使用单位验收意见：（盖章）</w:t>
            </w:r>
          </w:p>
          <w:p w14:paraId="6DBC0F1E">
            <w:pPr>
              <w:rPr>
                <w:rFonts w:hint="default" w:ascii="Times New Roman" w:hAnsi="Times New Roman" w:eastAsia="仿宋_GB2312" w:cs="Times New Roman"/>
                <w:sz w:val="24"/>
              </w:rPr>
            </w:pPr>
          </w:p>
        </w:tc>
      </w:tr>
      <w:tr w14:paraId="61E9F311">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111F727">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签字：</w:t>
            </w:r>
          </w:p>
        </w:tc>
        <w:tc>
          <w:tcPr>
            <w:tcW w:w="1349" w:type="pct"/>
            <w:tcBorders>
              <w:top w:val="nil"/>
              <w:left w:val="nil"/>
              <w:bottom w:val="nil"/>
              <w:right w:val="nil"/>
            </w:tcBorders>
            <w:noWrap/>
            <w:vAlign w:val="center"/>
          </w:tcPr>
          <w:p w14:paraId="1FD3E7D9">
            <w:pPr>
              <w:widowControl/>
              <w:jc w:val="center"/>
              <w:rPr>
                <w:rFonts w:hint="default" w:ascii="Times New Roman" w:hAnsi="Times New Roman" w:eastAsia="仿宋_GB2312" w:cs="Times New Roman"/>
                <w:b/>
                <w:bCs/>
                <w:kern w:val="0"/>
                <w:sz w:val="24"/>
              </w:rPr>
            </w:pPr>
          </w:p>
        </w:tc>
        <w:tc>
          <w:tcPr>
            <w:tcW w:w="1481" w:type="pct"/>
            <w:tcBorders>
              <w:top w:val="nil"/>
              <w:left w:val="single" w:color="auto" w:sz="4" w:space="0"/>
              <w:bottom w:val="nil"/>
              <w:right w:val="nil"/>
            </w:tcBorders>
            <w:noWrap/>
            <w:vAlign w:val="center"/>
          </w:tcPr>
          <w:p w14:paraId="2EB41D9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签字：</w:t>
            </w:r>
          </w:p>
        </w:tc>
        <w:tc>
          <w:tcPr>
            <w:tcW w:w="1248" w:type="pct"/>
            <w:tcBorders>
              <w:top w:val="nil"/>
              <w:left w:val="nil"/>
              <w:bottom w:val="nil"/>
              <w:right w:val="single" w:color="auto" w:sz="8" w:space="0"/>
            </w:tcBorders>
          </w:tcPr>
          <w:p w14:paraId="40FD4FC0">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w:t>
            </w:r>
          </w:p>
        </w:tc>
      </w:tr>
      <w:tr w14:paraId="6966CED0">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B61ECD8">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349" w:type="pct"/>
            <w:tcBorders>
              <w:top w:val="nil"/>
              <w:left w:val="nil"/>
              <w:bottom w:val="single" w:color="auto" w:sz="4" w:space="0"/>
              <w:right w:val="nil"/>
            </w:tcBorders>
            <w:vAlign w:val="bottom"/>
          </w:tcPr>
          <w:p w14:paraId="77A25686">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c>
          <w:tcPr>
            <w:tcW w:w="1481" w:type="pct"/>
            <w:tcBorders>
              <w:top w:val="nil"/>
              <w:left w:val="single" w:color="auto" w:sz="4" w:space="0"/>
              <w:bottom w:val="single" w:color="auto" w:sz="4" w:space="0"/>
              <w:right w:val="nil"/>
            </w:tcBorders>
            <w:noWrap/>
            <w:vAlign w:val="center"/>
          </w:tcPr>
          <w:p w14:paraId="3ED84680">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248" w:type="pct"/>
            <w:tcBorders>
              <w:top w:val="nil"/>
              <w:left w:val="nil"/>
              <w:bottom w:val="single" w:color="auto" w:sz="4" w:space="0"/>
              <w:right w:val="single" w:color="auto" w:sz="8" w:space="0"/>
            </w:tcBorders>
            <w:vAlign w:val="bottom"/>
          </w:tcPr>
          <w:p w14:paraId="7E23EB82">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r>
      <w:tr w14:paraId="5B3E8AD2">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08D79D9C">
            <w:pPr>
              <w:widowControl/>
              <w:jc w:val="center"/>
              <w:rPr>
                <w:rFonts w:hint="default" w:ascii="Times New Roman" w:hAnsi="Times New Roman" w:eastAsia="仿宋_GB2312" w:cs="Times New Roman"/>
                <w:b/>
                <w:bCs/>
                <w:kern w:val="0"/>
                <w:sz w:val="22"/>
                <w:szCs w:val="22"/>
              </w:rPr>
            </w:pPr>
            <w:r>
              <w:rPr>
                <w:rFonts w:hint="default" w:ascii="Times New Roman" w:hAnsi="Times New Roman" w:eastAsia="仿宋_GB2312" w:cs="Times New Roman"/>
                <w:b/>
                <w:bCs/>
                <w:kern w:val="0"/>
                <w:sz w:val="22"/>
                <w:szCs w:val="22"/>
              </w:rPr>
              <w:t>采购内容</w:t>
            </w:r>
          </w:p>
        </w:tc>
      </w:tr>
      <w:tr w14:paraId="397E9B62">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559E4C8B">
            <w:pPr>
              <w:widowControl/>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采购内容请列明品目、规格、型号、数量、单价、总价</w:t>
            </w:r>
          </w:p>
        </w:tc>
      </w:tr>
    </w:tbl>
    <w:p w14:paraId="2E1457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73917"/>
    <w:multiLevelType w:val="singleLevel"/>
    <w:tmpl w:val="88D739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5D2376"/>
    <w:rsid w:val="48F04535"/>
    <w:rsid w:val="615D2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styleId="4">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7">
    <w:name w:val="标题 1 Char1"/>
    <w:autoRedefine/>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2026-03-20T02:09:00Z</dcterms:created>
  <dc:creator>招标四部</dc:creator>
  <cp:lastModifiedBy>招标四部</cp:lastModifiedBy>
  <dcterms:modified xsi:type="dcterms:W3CDTF">2026-03-20T02:25:43Z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73DD48AFFD164191BC27AF499A8AC0BB_11</vt:lpwstr>
  </property>
  <property fmtid="{D5CDD505-2E9C-101B-9397-08002B2CF9AE}" pid="4" name="KSOTemplateDocerSaveRecord">
    <vt:lpwstr>eyJoZGlkIjoiYWRmNjk4OWM0ZmUyYWMzMjcxNzU1N2MzM2E4N2U1MDYiLCJ1c2VySWQiOiIyNDEwNjE3OTEifQ==</vt:lpwstr>
  </property>
</Properties>
</file>