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版本号：ZCBN-勉县-2026-0000520260305002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勉县医院保安服务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ZCBN-勉县-2026-00005</w:t>
      </w:r>
      <w:r>
        <w:br/>
      </w:r>
      <w:r>
        <w:br/>
      </w:r>
      <w:r>
        <w:br/>
      </w:r>
    </w:p>
    <w:p>
      <w:pPr>
        <w:pStyle w:val="null3"/>
        <w:jc w:val="center"/>
        <w:outlineLvl w:val="2"/>
      </w:pPr>
      <w:r>
        <w:rPr>
          <w:rFonts w:ascii="仿宋_GB2312" w:hAnsi="仿宋_GB2312" w:cs="仿宋_GB2312" w:eastAsia="仿宋_GB2312"/>
          <w:sz w:val="28"/>
          <w:b/>
        </w:rPr>
        <w:t>陕西省勉县医院</w:t>
      </w:r>
    </w:p>
    <w:p>
      <w:pPr>
        <w:pStyle w:val="null3"/>
        <w:jc w:val="center"/>
        <w:outlineLvl w:val="2"/>
      </w:pPr>
      <w:r>
        <w:rPr>
          <w:rFonts w:ascii="仿宋_GB2312" w:hAnsi="仿宋_GB2312" w:cs="仿宋_GB2312" w:eastAsia="仿宋_GB2312"/>
          <w:sz w:val="28"/>
          <w:b/>
        </w:rPr>
        <w:t>勉县政府采购中心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勉县政府采购中心</w:t>
      </w:r>
      <w:r>
        <w:rPr>
          <w:rFonts w:ascii="仿宋_GB2312" w:hAnsi="仿宋_GB2312" w:cs="仿宋_GB2312" w:eastAsia="仿宋_GB2312"/>
        </w:rPr>
        <w:t>（以下简称“代理机构”）受</w:t>
      </w:r>
      <w:r>
        <w:rPr>
          <w:rFonts w:ascii="仿宋_GB2312" w:hAnsi="仿宋_GB2312" w:cs="仿宋_GB2312" w:eastAsia="仿宋_GB2312"/>
        </w:rPr>
        <w:t>陕西省勉县医院</w:t>
      </w:r>
      <w:r>
        <w:rPr>
          <w:rFonts w:ascii="仿宋_GB2312" w:hAnsi="仿宋_GB2312" w:cs="仿宋_GB2312" w:eastAsia="仿宋_GB2312"/>
        </w:rPr>
        <w:t>委托，拟对</w:t>
      </w:r>
      <w:r>
        <w:rPr>
          <w:rFonts w:ascii="仿宋_GB2312" w:hAnsi="仿宋_GB2312" w:cs="仿宋_GB2312" w:eastAsia="仿宋_GB2312"/>
        </w:rPr>
        <w:t>勉县医院保安服务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ZCBN-勉县-2026-00005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勉县医院保安服务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勉县医院院内执行门岗服务、内部巡查、院内安检、精神病区精神卫生封闭病区安全防护及车辆管理内部交通管理。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采购包1（勉县医院保安服务）：属于专门面向中小企业采购。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2、法人代表人证明书及授权书：法定代表人参加投标的，提供《法定代表人证明书》即可；法定代表人授权他人参加投标的，提供《法定代表人证明书》及《法定代表人委托授权书》。</w:t>
      </w:r>
    </w:p>
    <w:p>
      <w:pPr>
        <w:pStyle w:val="null3"/>
      </w:pPr>
      <w:r>
        <w:rPr>
          <w:rFonts w:ascii="仿宋_GB2312" w:hAnsi="仿宋_GB2312" w:cs="仿宋_GB2312" w:eastAsia="仿宋_GB2312"/>
        </w:rPr>
        <w:t>3、信誉要求：供应商须具有健全的财务会计制度、具有履行合同所必需的设备和专业技术能力、具有依 法缴纳税收和社会保障资金的良好记录，参加本项目采购活动前三年内在经营活动中无重大违法活动记录，未列入在信用中国网站“失信被执行人”、“重大税收违法案件当事人名单” 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4、是否面向中、小企业：本项目为专门面向中小企业项目，响应人应为中型、小型、微型企业或监狱企业或残疾人 福利性单位。提供《中小企业声明函》；响应人为监狱企业的，应提供监狱企业的证明文件； 响应人为残疾人福利性单位的，应提供《残疾人福利性单位声明函》（监狱企业或残疾人福 利性单位视同小型、微型企业）;本项目不允许联合体投标。</w:t>
      </w:r>
    </w:p>
    <w:p>
      <w:pPr>
        <w:pStyle w:val="null3"/>
      </w:pPr>
      <w:r>
        <w:rPr>
          <w:rFonts w:ascii="仿宋_GB2312" w:hAnsi="仿宋_GB2312" w:cs="仿宋_GB2312" w:eastAsia="仿宋_GB2312"/>
        </w:rPr>
        <w:t>5、特殊资格要求：应具备公安部门颁发的《保安服务许可证》。</w:t>
      </w:r>
    </w:p>
    <w:p>
      <w:pPr>
        <w:pStyle w:val="null3"/>
      </w:pPr>
      <w:r>
        <w:rPr>
          <w:rFonts w:ascii="仿宋_GB2312" w:hAnsi="仿宋_GB2312" w:cs="仿宋_GB2312" w:eastAsia="仿宋_GB2312"/>
        </w:rPr>
        <w:t>6、本项目不接受联合体，且成交后不得分包、转包。：提供《非联合体投标不得分包、转包声明函》。</w:t>
      </w:r>
    </w:p>
    <w:p>
      <w:pPr>
        <w:pStyle w:val="null3"/>
      </w:pPr>
      <w:r>
        <w:rPr>
          <w:rFonts w:ascii="仿宋_GB2312" w:hAnsi="仿宋_GB2312" w:cs="仿宋_GB2312" w:eastAsia="仿宋_GB2312"/>
        </w:rPr>
        <w:t>7、具备为同类项目提供安保服务的成功经验和案例：需提供至少2个同类项目合同扫描件以供核查。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陕西省勉县医院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陕西省汉中市勉县定军山镇绿缘路西段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0916-3232219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勉县政府采购中心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陕西省汉中市勉县勉阳街道和平路中段财政局六楼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汪正文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0916-8652885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0916-8652188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陕西省勉县医院</w:t>
      </w:r>
      <w:r>
        <w:rPr>
          <w:rFonts w:ascii="仿宋_GB2312" w:hAnsi="仿宋_GB2312" w:cs="仿宋_GB2312" w:eastAsia="仿宋_GB2312"/>
        </w:rPr>
        <w:t>和</w:t>
      </w:r>
      <w:r>
        <w:rPr>
          <w:rFonts w:ascii="仿宋_GB2312" w:hAnsi="仿宋_GB2312" w:cs="仿宋_GB2312" w:eastAsia="仿宋_GB2312"/>
        </w:rPr>
        <w:t>勉县政府采购中心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陕西省勉县医院</w:t>
      </w:r>
      <w:r>
        <w:rPr>
          <w:rFonts w:ascii="仿宋_GB2312" w:hAnsi="仿宋_GB2312" w:cs="仿宋_GB2312" w:eastAsia="仿宋_GB2312"/>
        </w:rPr>
        <w:t>负责解释。除上述磋商文件内容，其他内容由</w:t>
      </w:r>
      <w:r>
        <w:rPr>
          <w:rFonts w:ascii="仿宋_GB2312" w:hAnsi="仿宋_GB2312" w:cs="仿宋_GB2312" w:eastAsia="仿宋_GB2312"/>
        </w:rPr>
        <w:t>勉县政府采购中心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陕西省勉县医院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勉县政府采购中心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遵照国家有关规定和最终合同约定执行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勉县政府采购中心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勉县政府采购中心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勉县政府采购中心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联系人：汪正文</w:t>
      </w:r>
    </w:p>
    <w:p>
      <w:pPr>
        <w:pStyle w:val="null3"/>
      </w:pPr>
      <w:r>
        <w:rPr>
          <w:rFonts w:ascii="仿宋_GB2312" w:hAnsi="仿宋_GB2312" w:cs="仿宋_GB2312" w:eastAsia="仿宋_GB2312"/>
        </w:rPr>
        <w:t>联系电话：0916-8652885</w:t>
      </w:r>
    </w:p>
    <w:p>
      <w:pPr>
        <w:pStyle w:val="null3"/>
      </w:pPr>
      <w:r>
        <w:rPr>
          <w:rFonts w:ascii="仿宋_GB2312" w:hAnsi="仿宋_GB2312" w:cs="仿宋_GB2312" w:eastAsia="仿宋_GB2312"/>
        </w:rPr>
        <w:t>地址：陕西省汉中市勉县勉阳街道和平路中段财政局六楼608室</w:t>
      </w:r>
    </w:p>
    <w:p>
      <w:pPr>
        <w:pStyle w:val="null3"/>
      </w:pPr>
      <w:r>
        <w:rPr>
          <w:rFonts w:ascii="仿宋_GB2312" w:hAnsi="仿宋_GB2312" w:cs="仿宋_GB2312" w:eastAsia="仿宋_GB2312"/>
        </w:rPr>
        <w:t>邮编：724200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勉县医院院内执行门岗服务、内部巡查、院内安检、精神病区精神卫生封闭病区安全防护及车辆管理内部交通管理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勉县医院保安服务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标的名称：勉县医院保安服务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rPr>
              <w:t>一、</w:t>
            </w:r>
            <w:r>
              <w:rPr>
                <w:rFonts w:ascii="仿宋_GB2312" w:hAnsi="仿宋_GB2312" w:cs="仿宋_GB2312" w:eastAsia="仿宋_GB2312"/>
                <w:sz w:val="28"/>
              </w:rPr>
              <w:t>保安公司的资质要求</w:t>
            </w:r>
          </w:p>
          <w:p>
            <w:pPr>
              <w:pStyle w:val="null3"/>
              <w:jc w:val="both"/>
            </w:pPr>
            <w:r>
              <w:rPr>
                <w:rFonts w:ascii="仿宋_GB2312" w:hAnsi="仿宋_GB2312" w:cs="仿宋_GB2312" w:eastAsia="仿宋_GB2312"/>
                <w:sz w:val="28"/>
              </w:rPr>
              <w:t>1.须持有</w:t>
            </w:r>
            <w:r>
              <w:rPr>
                <w:rFonts w:ascii="仿宋_GB2312" w:hAnsi="仿宋_GB2312" w:cs="仿宋_GB2312" w:eastAsia="仿宋_GB2312"/>
                <w:sz w:val="28"/>
              </w:rPr>
              <w:t>相关机构</w:t>
            </w:r>
            <w:r>
              <w:rPr>
                <w:rFonts w:ascii="仿宋_GB2312" w:hAnsi="仿宋_GB2312" w:cs="仿宋_GB2312" w:eastAsia="仿宋_GB2312"/>
                <w:sz w:val="28"/>
              </w:rPr>
              <w:t>核发的有效《保安服务许可证》和《营业执照》。</w:t>
            </w:r>
          </w:p>
          <w:p>
            <w:pPr>
              <w:pStyle w:val="null3"/>
              <w:jc w:val="both"/>
            </w:pPr>
            <w:r>
              <w:rPr>
                <w:rFonts w:ascii="仿宋_GB2312" w:hAnsi="仿宋_GB2312" w:cs="仿宋_GB2312" w:eastAsia="仿宋_GB2312"/>
                <w:sz w:val="28"/>
              </w:rPr>
              <w:t>2.具备为同类项目提供安保服务的成功经验和案例，需提供至少2个同类项目合同复印件以供核查。</w:t>
            </w:r>
          </w:p>
          <w:p>
            <w:pPr>
              <w:pStyle w:val="null3"/>
              <w:jc w:val="both"/>
            </w:pPr>
            <w:r>
              <w:rPr>
                <w:rFonts w:ascii="仿宋_GB2312" w:hAnsi="仿宋_GB2312" w:cs="仿宋_GB2312" w:eastAsia="仿宋_GB2312"/>
                <w:sz w:val="28"/>
              </w:rPr>
              <w:t>3.公司经营状况良好，无不良信用记录。</w:t>
            </w:r>
          </w:p>
          <w:p>
            <w:pPr>
              <w:pStyle w:val="null3"/>
              <w:jc w:val="both"/>
            </w:pPr>
            <w:r>
              <w:rPr>
                <w:rFonts w:ascii="仿宋_GB2312" w:hAnsi="仿宋_GB2312" w:cs="仿宋_GB2312" w:eastAsia="仿宋_GB2312"/>
                <w:sz w:val="28"/>
              </w:rPr>
              <w:t>二</w:t>
            </w:r>
            <w:r>
              <w:rPr>
                <w:rFonts w:ascii="仿宋_GB2312" w:hAnsi="仿宋_GB2312" w:cs="仿宋_GB2312" w:eastAsia="仿宋_GB2312"/>
                <w:sz w:val="28"/>
              </w:rPr>
              <w:t>、保安人员的要求</w:t>
            </w:r>
          </w:p>
          <w:p>
            <w:pPr>
              <w:pStyle w:val="null3"/>
              <w:jc w:val="both"/>
            </w:pPr>
            <w:r>
              <w:rPr>
                <w:rFonts w:ascii="仿宋_GB2312" w:hAnsi="仿宋_GB2312" w:cs="仿宋_GB2312" w:eastAsia="仿宋_GB2312"/>
                <w:sz w:val="28"/>
              </w:rPr>
              <w:t>1. 基本条件：</w:t>
            </w:r>
          </w:p>
          <w:p>
            <w:pPr>
              <w:pStyle w:val="null3"/>
              <w:jc w:val="both"/>
            </w:pPr>
            <w:r>
              <w:rPr>
                <w:rFonts w:ascii="仿宋_GB2312" w:hAnsi="仿宋_GB2312" w:cs="仿宋_GB2312" w:eastAsia="仿宋_GB2312"/>
                <w:sz w:val="28"/>
              </w:rPr>
              <w:t>•年龄：18至</w:t>
            </w:r>
            <w:r>
              <w:rPr>
                <w:rFonts w:ascii="仿宋_GB2312" w:hAnsi="仿宋_GB2312" w:cs="仿宋_GB2312" w:eastAsia="仿宋_GB2312"/>
                <w:sz w:val="28"/>
              </w:rPr>
              <w:t>59</w:t>
            </w:r>
            <w:r>
              <w:rPr>
                <w:rFonts w:ascii="仿宋_GB2312" w:hAnsi="仿宋_GB2312" w:cs="仿宋_GB2312" w:eastAsia="仿宋_GB2312"/>
                <w:sz w:val="28"/>
              </w:rPr>
              <w:t>周岁，身高</w:t>
            </w:r>
            <w:r>
              <w:rPr>
                <w:rFonts w:ascii="仿宋_GB2312" w:hAnsi="仿宋_GB2312" w:cs="仿宋_GB2312" w:eastAsia="仿宋_GB2312"/>
                <w:sz w:val="28"/>
              </w:rPr>
              <w:t>165cm 以</w:t>
            </w:r>
            <w:r>
              <w:rPr>
                <w:rFonts w:ascii="仿宋_GB2312" w:hAnsi="仿宋_GB2312" w:cs="仿宋_GB2312" w:eastAsia="仿宋_GB2312"/>
                <w:sz w:val="28"/>
              </w:rPr>
              <w:t>上</w:t>
            </w:r>
            <w:r>
              <w:rPr>
                <w:rFonts w:ascii="仿宋_GB2312" w:hAnsi="仿宋_GB2312" w:cs="仿宋_GB2312" w:eastAsia="仿宋_GB2312"/>
                <w:sz w:val="28"/>
              </w:rPr>
              <w:t>（可根据岗位调整），</w:t>
            </w:r>
            <w:r>
              <w:rPr>
                <w:rFonts w:ascii="仿宋_GB2312" w:hAnsi="仿宋_GB2312" w:cs="仿宋_GB2312" w:eastAsia="仿宋_GB2312"/>
                <w:sz w:val="28"/>
              </w:rPr>
              <w:t>具有初中以上文化程度，身体健康，品行良好，</w:t>
            </w:r>
            <w:r>
              <w:rPr>
                <w:rFonts w:ascii="仿宋_GB2312" w:hAnsi="仿宋_GB2312" w:cs="仿宋_GB2312" w:eastAsia="仿宋_GB2312"/>
                <w:sz w:val="28"/>
              </w:rPr>
              <w:t>形象端正</w:t>
            </w:r>
            <w:r>
              <w:rPr>
                <w:rFonts w:ascii="仿宋_GB2312" w:hAnsi="仿宋_GB2312" w:cs="仿宋_GB2312" w:eastAsia="仿宋_GB2312"/>
                <w:sz w:val="28"/>
              </w:rPr>
              <w:t>；相关公司严格遵守保安服务管理条例</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。必须持有合法有效的《保安员证》，并经过正规培训。</w:t>
            </w:r>
          </w:p>
          <w:p>
            <w:pPr>
              <w:pStyle w:val="null3"/>
              <w:jc w:val="both"/>
            </w:pPr>
            <w:r>
              <w:rPr>
                <w:rFonts w:ascii="仿宋_GB2312" w:hAnsi="仿宋_GB2312" w:cs="仿宋_GB2312" w:eastAsia="仿宋_GB2312"/>
                <w:sz w:val="28"/>
              </w:rPr>
              <w:t>。提供无犯罪记录证明。</w:t>
            </w:r>
          </w:p>
          <w:p>
            <w:pPr>
              <w:pStyle w:val="null3"/>
              <w:jc w:val="both"/>
            </w:pPr>
            <w:r>
              <w:rPr>
                <w:rFonts w:ascii="仿宋_GB2312" w:hAnsi="仿宋_GB2312" w:cs="仿宋_GB2312" w:eastAsia="仿宋_GB2312"/>
                <w:sz w:val="28"/>
              </w:rPr>
              <w:t>•具备良好的沟通能力和服务意识。</w:t>
            </w:r>
          </w:p>
          <w:p>
            <w:pPr>
              <w:pStyle w:val="null3"/>
              <w:jc w:val="both"/>
            </w:pPr>
            <w:r>
              <w:rPr>
                <w:rFonts w:ascii="仿宋_GB2312" w:hAnsi="仿宋_GB2312" w:cs="仿宋_GB2312" w:eastAsia="仿宋_GB2312"/>
                <w:sz w:val="28"/>
              </w:rPr>
              <w:t>2. 岗位配置与素质：</w:t>
            </w:r>
          </w:p>
          <w:p>
            <w:pPr>
              <w:pStyle w:val="null3"/>
              <w:jc w:val="both"/>
            </w:pPr>
            <w:r>
              <w:rPr>
                <w:rFonts w:ascii="仿宋_GB2312" w:hAnsi="仿宋_GB2312" w:cs="仿宋_GB2312" w:eastAsia="仿宋_GB2312"/>
                <w:sz w:val="28"/>
              </w:rPr>
              <w:t>°项目经理/队长：需有3年以上安保管理经验，责任心强，善于沟通协调。</w:t>
            </w:r>
          </w:p>
          <w:p>
            <w:pPr>
              <w:pStyle w:val="null3"/>
              <w:jc w:val="both"/>
            </w:pPr>
            <w:r>
              <w:rPr>
                <w:rFonts w:ascii="仿宋_GB2312" w:hAnsi="仿宋_GB2312" w:cs="仿宋_GB2312" w:eastAsia="仿宋_GB2312"/>
                <w:sz w:val="28"/>
              </w:rPr>
              <w:t>。普通保安员：熟悉安保业务，能熟练使用消防器材、通讯器材等安保设备。</w:t>
            </w:r>
          </w:p>
          <w:p>
            <w:pPr>
              <w:pStyle w:val="null3"/>
              <w:jc w:val="both"/>
            </w:pPr>
            <w:r>
              <w:rPr>
                <w:rFonts w:ascii="仿宋_GB2312" w:hAnsi="仿宋_GB2312" w:cs="仿宋_GB2312" w:eastAsia="仿宋_GB2312"/>
                <w:sz w:val="28"/>
              </w:rPr>
              <w:t>3.人员配置方案：总人</w:t>
            </w:r>
            <w:r>
              <w:rPr>
                <w:rFonts w:ascii="仿宋_GB2312" w:hAnsi="仿宋_GB2312" w:cs="仿宋_GB2312" w:eastAsia="仿宋_GB2312"/>
                <w:sz w:val="28"/>
              </w:rPr>
              <w:t>数</w:t>
            </w:r>
            <w:r>
              <w:rPr>
                <w:rFonts w:ascii="仿宋_GB2312" w:hAnsi="仿宋_GB2312" w:cs="仿宋_GB2312" w:eastAsia="仿宋_GB2312"/>
                <w:sz w:val="28"/>
              </w:rPr>
              <w:t>18人</w:t>
            </w:r>
          </w:p>
          <w:p>
            <w:pPr>
              <w:pStyle w:val="null3"/>
              <w:jc w:val="both"/>
            </w:pPr>
            <w:r>
              <w:rPr>
                <w:rFonts w:ascii="仿宋_GB2312" w:hAnsi="仿宋_GB2312" w:cs="仿宋_GB2312" w:eastAsia="仿宋_GB2312"/>
                <w:sz w:val="28"/>
              </w:rPr>
              <w:t>三、主要岗位分布</w:t>
            </w:r>
          </w:p>
          <w:p>
            <w:pPr>
              <w:pStyle w:val="null3"/>
              <w:jc w:val="both"/>
            </w:pPr>
            <w:r>
              <w:rPr>
                <w:rFonts w:ascii="仿宋_GB2312" w:hAnsi="仿宋_GB2312" w:cs="仿宋_GB2312" w:eastAsia="仿宋_GB2312"/>
                <w:sz w:val="28"/>
              </w:rPr>
              <w:t>1. 门岗服务：</w:t>
            </w:r>
          </w:p>
          <w:p>
            <w:pPr>
              <w:pStyle w:val="null3"/>
              <w:jc w:val="both"/>
            </w:pPr>
            <w:r>
              <w:rPr>
                <w:rFonts w:ascii="仿宋_GB2312" w:hAnsi="仿宋_GB2312" w:cs="仿宋_GB2312" w:eastAsia="仿宋_GB2312"/>
                <w:sz w:val="28"/>
              </w:rPr>
              <w:t>。院区门卫出入口的安全检查、监控报警守护，车辆疏导和车辆管理。</w:t>
            </w:r>
          </w:p>
          <w:p>
            <w:pPr>
              <w:pStyle w:val="null3"/>
              <w:jc w:val="both"/>
            </w:pPr>
            <w:r>
              <w:rPr>
                <w:rFonts w:ascii="仿宋_GB2312" w:hAnsi="仿宋_GB2312" w:cs="仿宋_GB2312" w:eastAsia="仿宋_GB2312"/>
                <w:sz w:val="28"/>
              </w:rPr>
              <w:t>。严格执行人员，车辆出入登记管理制度，做好来访宾客的指引工作。</w:t>
            </w:r>
          </w:p>
          <w:p>
            <w:pPr>
              <w:pStyle w:val="null3"/>
              <w:jc w:val="both"/>
            </w:pPr>
            <w:r>
              <w:rPr>
                <w:rFonts w:ascii="仿宋_GB2312" w:hAnsi="仿宋_GB2312" w:cs="仿宋_GB2312" w:eastAsia="仿宋_GB2312"/>
                <w:sz w:val="28"/>
              </w:rPr>
              <w:t>。保持岗亭内外卫生整洁，树立良好窗口形象。</w:t>
            </w:r>
          </w:p>
          <w:p>
            <w:pPr>
              <w:pStyle w:val="null3"/>
              <w:numPr>
                <w:ilvl w:val="0"/>
                <w:numId w:val="1"/>
              </w:numPr>
              <w:jc w:val="both"/>
            </w:pPr>
            <w:r>
              <w:rPr>
                <w:rFonts w:ascii="仿宋_GB2312" w:hAnsi="仿宋_GB2312" w:cs="仿宋_GB2312" w:eastAsia="仿宋_GB2312"/>
                <w:sz w:val="28"/>
              </w:rPr>
              <w:t>内部巡查</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院内消防、治安、交通综合巡逻巡查维护，引导处理突发事件。</w:t>
            </w:r>
          </w:p>
          <w:p>
            <w:pPr>
              <w:pStyle w:val="null3"/>
              <w:jc w:val="both"/>
            </w:pPr>
            <w:r>
              <w:rPr>
                <w:rFonts w:ascii="仿宋_GB2312" w:hAnsi="仿宋_GB2312" w:cs="仿宋_GB2312" w:eastAsia="仿宋_GB2312"/>
                <w:sz w:val="28"/>
              </w:rPr>
              <w:t>。制定固定路线和随机路线，每小时至少巡逻一次，重点区域（如机房、仓库）重点巡查。</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遇故障</w:t>
            </w:r>
            <w:r>
              <w:rPr>
                <w:rFonts w:ascii="仿宋_GB2312" w:hAnsi="仿宋_GB2312" w:cs="仿宋_GB2312" w:eastAsia="仿宋_GB2312"/>
                <w:sz w:val="28"/>
              </w:rPr>
              <w:t>及时发现并报告安全隐患（如消防设施损坏、门窗未关、可疑人员等），并做好巡</w:t>
            </w:r>
            <w:r>
              <w:rPr>
                <w:rFonts w:ascii="仿宋_GB2312" w:hAnsi="仿宋_GB2312" w:cs="仿宋_GB2312" w:eastAsia="仿宋_GB2312"/>
                <w:sz w:val="28"/>
              </w:rPr>
              <w:t>查及故障</w:t>
            </w:r>
            <w:r>
              <w:rPr>
                <w:rFonts w:ascii="仿宋_GB2312" w:hAnsi="仿宋_GB2312" w:cs="仿宋_GB2312" w:eastAsia="仿宋_GB2312"/>
                <w:sz w:val="28"/>
              </w:rPr>
              <w:t>记录。</w:t>
            </w:r>
          </w:p>
          <w:p>
            <w:pPr>
              <w:pStyle w:val="null3"/>
              <w:numPr>
                <w:ilvl w:val="0"/>
                <w:numId w:val="1"/>
              </w:numPr>
              <w:jc w:val="both"/>
            </w:pPr>
            <w:r>
              <w:rPr>
                <w:rFonts w:ascii="仿宋_GB2312" w:hAnsi="仿宋_GB2312" w:cs="仿宋_GB2312" w:eastAsia="仿宋_GB2312"/>
                <w:sz w:val="28"/>
              </w:rPr>
              <w:t>安检：</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院内安检。</w:t>
            </w:r>
          </w:p>
          <w:p>
            <w:pPr>
              <w:pStyle w:val="null3"/>
              <w:jc w:val="both"/>
            </w:pPr>
            <w:r>
              <w:rPr>
                <w:rFonts w:ascii="仿宋_GB2312" w:hAnsi="仿宋_GB2312" w:cs="仿宋_GB2312" w:eastAsia="仿宋_GB2312"/>
                <w:sz w:val="28"/>
              </w:rPr>
              <w:t>。人员与物品安全检查、区域秩序维护、异常情况处置、设备日常管理。</w:t>
            </w:r>
          </w:p>
          <w:p>
            <w:pPr>
              <w:pStyle w:val="null3"/>
              <w:numPr>
                <w:ilvl w:val="0"/>
                <w:numId w:val="1"/>
              </w:numPr>
              <w:jc w:val="both"/>
            </w:pPr>
            <w:r>
              <w:rPr>
                <w:rFonts w:ascii="仿宋_GB2312" w:hAnsi="仿宋_GB2312" w:cs="仿宋_GB2312" w:eastAsia="仿宋_GB2312"/>
                <w:sz w:val="28"/>
              </w:rPr>
              <w:t>精神病区：</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精神卫生封闭病区安全防护。</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见“技术参数与性能指标”。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勉县医院院内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遵照国家有关规定和最终合同约定执行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签订合同第2个月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签订合同第3个月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签订合同第4个月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签订合同第5个月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签订合同第6个月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签订合同第7个月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签订合同第8个月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签订合同第9个月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签订合同第10个月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签订合同第11个月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签订合同第12个月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签订合同第13个月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遵照国家有关规定和最终合同约定执行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资格要求（营业执照）.docx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法人代表人证明书及授权书</w:t>
            </w:r>
          </w:p>
        </w:tc>
        <w:tc>
          <w:tcPr>
            <w:tcW w:type="dxa" w:w="3322"/>
          </w:tcPr>
          <w:p>
            <w:pPr>
              <w:pStyle w:val="null3"/>
            </w:pPr>
            <w:r>
              <w:rPr>
                <w:rFonts w:ascii="仿宋_GB2312" w:hAnsi="仿宋_GB2312" w:cs="仿宋_GB2312" w:eastAsia="仿宋_GB2312"/>
              </w:rPr>
              <w:t>法定代表人参加投标的，提供《法定代表人证明书》即可；法定代表人授权他人参加投标的，提供《法定代表人证明书》及《法定代表人委托授权书》。</w:t>
            </w:r>
          </w:p>
        </w:tc>
        <w:tc>
          <w:tcPr>
            <w:tcW w:type="dxa" w:w="1661"/>
          </w:tcPr>
          <w:p>
            <w:pPr>
              <w:pStyle w:val="null3"/>
            </w:pPr>
            <w:r>
              <w:rPr>
                <w:rFonts w:ascii="仿宋_GB2312" w:hAnsi="仿宋_GB2312" w:cs="仿宋_GB2312" w:eastAsia="仿宋_GB2312"/>
              </w:rPr>
              <w:t>法定代表人证明书.docx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 法缴纳税收和社会保障资金的良好记录，参加本项目采购活动前三年内在经营活动中无重大违法活动记录，未列入在信用中国网站“失信被执行人”、“重大税收违法案件当事人名单” 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本项目为专门面向中小企业项目，响应人应为中型、小型、微型企业或监狱企业或残疾人 福利性单位。提供《中小企业声明函》；响应人为监狱企业的，应提供监狱企业的证明文件； 响应人为残疾人福利性单位的，应提供《残疾人福利性单位声明函》（监狱企业或残疾人福 利性单位视同小型、微型企业）;本项目不允许联合体投标。</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应具备公安部门颁发的《保安服务许可证》。</w:t>
            </w:r>
          </w:p>
        </w:tc>
        <w:tc>
          <w:tcPr>
            <w:tcW w:type="dxa" w:w="1661"/>
          </w:tcPr>
          <w:p>
            <w:pPr>
              <w:pStyle w:val="null3"/>
            </w:pPr>
            <w:r>
              <w:rPr>
                <w:rFonts w:ascii="仿宋_GB2312" w:hAnsi="仿宋_GB2312" w:cs="仿宋_GB2312" w:eastAsia="仿宋_GB2312"/>
              </w:rPr>
              <w:t>保安服务许可证.docx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本项目不接受联合体，且成交后不得分包、转包。</w:t>
            </w:r>
          </w:p>
        </w:tc>
        <w:tc>
          <w:tcPr>
            <w:tcW w:type="dxa" w:w="3322"/>
          </w:tcPr>
          <w:p>
            <w:pPr>
              <w:pStyle w:val="null3"/>
            </w:pPr>
            <w:r>
              <w:rPr>
                <w:rFonts w:ascii="仿宋_GB2312" w:hAnsi="仿宋_GB2312" w:cs="仿宋_GB2312" w:eastAsia="仿宋_GB2312"/>
              </w:rPr>
              <w:t>提供《非联合体投标不得分包、转包声明函》。</w:t>
            </w:r>
          </w:p>
        </w:tc>
        <w:tc>
          <w:tcPr>
            <w:tcW w:type="dxa" w:w="1661"/>
          </w:tcPr>
          <w:p>
            <w:pPr>
              <w:pStyle w:val="null3"/>
            </w:pPr>
            <w:r>
              <w:rPr>
                <w:rFonts w:ascii="仿宋_GB2312" w:hAnsi="仿宋_GB2312" w:cs="仿宋_GB2312" w:eastAsia="仿宋_GB2312"/>
              </w:rPr>
              <w:t>非联合体投标不得分包、转包声明函.docx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具备为同类项目提供安保服务的成功经验和案例</w:t>
            </w:r>
          </w:p>
        </w:tc>
        <w:tc>
          <w:tcPr>
            <w:tcW w:type="dxa" w:w="3322"/>
          </w:tcPr>
          <w:p>
            <w:pPr>
              <w:pStyle w:val="null3"/>
            </w:pPr>
            <w:r>
              <w:rPr>
                <w:rFonts w:ascii="仿宋_GB2312" w:hAnsi="仿宋_GB2312" w:cs="仿宋_GB2312" w:eastAsia="仿宋_GB2312"/>
              </w:rPr>
              <w:t>需提供至少2个同类项目合同扫描件以供核查。</w:t>
            </w:r>
          </w:p>
        </w:tc>
        <w:tc>
          <w:tcPr>
            <w:tcW w:type="dxa" w:w="1661"/>
          </w:tcPr>
          <w:p>
            <w:pPr>
              <w:pStyle w:val="null3"/>
            </w:pPr>
            <w:r>
              <w:rPr>
                <w:rFonts w:ascii="仿宋_GB2312" w:hAnsi="仿宋_GB2312" w:cs="仿宋_GB2312" w:eastAsia="仿宋_GB2312"/>
              </w:rPr>
              <w:t>业绩资料.docx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价格</w:t>
            </w:r>
          </w:p>
        </w:tc>
        <w:tc>
          <w:tcPr>
            <w:tcW w:type="dxa" w:w="2492"/>
          </w:tcPr>
          <w:p>
            <w:pPr>
              <w:pStyle w:val="null3"/>
            </w:pPr>
            <w:r>
              <w:rPr>
                <w:rFonts w:ascii="仿宋_GB2312" w:hAnsi="仿宋_GB2312" w:cs="仿宋_GB2312" w:eastAsia="仿宋_GB2312"/>
              </w:rPr>
              <w:t>有效最低响应人报价为基准价计30分；其他各响应人的报价按下列公式计算：报价得分=（基准价/最后报价）×30。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响应人提供本项目总体服务方案，包括：①服务目标；②管理理念；③重难点分析及保障措施；④项目进驻及筹备程序。 二、赋分标准 1、完整性：方案内容完整全面，对上述各项内容均有详细描述及说明，得4分；每缺1项，扣1分；不提供不得分。 2、针对性：针对性强，得3分；针对性一般，得1分；缺乏针对性，得0分。 3、可实施性：可实施性强，得3分；可实施性一般，得1分；缺乏可实施性，得0分。 4、此项不提供不得分。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组织机构设置</w:t>
            </w:r>
          </w:p>
        </w:tc>
        <w:tc>
          <w:tcPr>
            <w:tcW w:type="dxa" w:w="2492"/>
          </w:tcPr>
          <w:p>
            <w:pPr>
              <w:pStyle w:val="null3"/>
            </w:pPr>
            <w:r>
              <w:rPr>
                <w:rFonts w:ascii="仿宋_GB2312" w:hAnsi="仿宋_GB2312" w:cs="仿宋_GB2312" w:eastAsia="仿宋_GB2312"/>
              </w:rPr>
              <w:t>一、评审内容 响应人提供本项目组织机构设置，包括：①公司组织机构设置；②项目组织机构设置；③拟派人员情况；④拟派人员分工情况。 二、赋分标准 1、完整性：方案内容完整全面，对上述各项内容均有详细描述及说明，得4分；每缺1项，扣1分；不提供不得分 2、针对性：针对性强，得3分；针对性一般，得1.5分；缺乏针对性，得0分。 3、可实施性：可实施性强，得3分；可实施性一般，得1.5分；缺乏可实施性，得0分。 4、此项不提供不得分。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提供针对本项目管理制度，①工作制度：岗位工作职责、服务质量标准、工作记录及档案管理制度；②内控制度：服务质量监督考核办法、奖惩制度、问责机制；③人员制度：人员考勤及请销假制度、仪容仪表制度、人员培训制度。 二、赋分标准 1、完整性：方案内容完整全面，对上述各项内容均有详细描述及说明，得3分；每缺1项，扣1分；不提供不得分 2、针对性：针对性强，得3分；针对性一般，得1.5分；缺乏针对性，得0分。 3、可实施性：可实施性强，得3分；可实施性一般，得1.5分；缺乏可实施性，得0分。 4、此项不提供不得分。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安保服务方案</w:t>
            </w:r>
          </w:p>
        </w:tc>
        <w:tc>
          <w:tcPr>
            <w:tcW w:type="dxa" w:w="2492"/>
          </w:tcPr>
          <w:p>
            <w:pPr>
              <w:pStyle w:val="null3"/>
            </w:pPr>
            <w:r>
              <w:rPr>
                <w:rFonts w:ascii="仿宋_GB2312" w:hAnsi="仿宋_GB2312" w:cs="仿宋_GB2312" w:eastAsia="仿宋_GB2312"/>
              </w:rPr>
              <w:t>一、评审内容;针对本项目提出安保服务方案，包括：①门岗、安检执勤；②秩序维护；③巡逻检查重点及巡逻检查操作规范。 二、评审标准: 1、完整性：方案内容完整全面，对上述各项内容均有详细描述及说明，得4分；每缺1项，扣1分；不提供不得分。 2、针对性：针对性强，得3分；针对性一般，得2分；缺乏针对性，得0分。 3、可实施性：可实施性强，得3分；可实施性一般，得2分；缺乏可实施性，得0分。 4、此项不提供不得分。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项目特点提供应急预案，预案内容包含：①自然灾害处理：暴雨、暴雪、雷电、大风、地震等；②紧急情况的预防处置：供电系统故障、给排水系统故障等；③突发事件的预防及处置：盗窃、寻衅滋事、违法事件、上访事件等。 二、评审标准： 1、完整性：方案内容完整全面，对上述各项内容均有详细描述及说明，得3分；每缺1项，扣1分；不提供不得分。 2、针对性：针对性强，得2分；针对性一般，得1分；缺乏针对性，得0分。 3、可实施性：可实施性强，得2分；可实施性一般，得1分；缺乏可实施性，得0分。 4、此项不提供不得分。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一、评审内容 针对本项目培训方案包含：①岗前培训；②开展定期消防、安保常态化培训；③安全责任培训；④培训后的成果验收和考核。 二、赋分标准 1、完整性：方案全面，对评审内容中的各项要求有详细描述及说明，得4分；每缺1项，扣1分；不提供不得分。 2、针对性：方案能够紧扣项目实际情况，内容科学合理，针对性强，得3分；针对性一般，得1分；缺乏针对性，得0分。 3、可实施性：切合本项目实际情况，实施步骤清晰、合理可实施性强，得3分；可实施性一般，得1分；缺乏可实施性，得0分。 4、此项不提供不得分。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大型活动安保方案</w:t>
            </w:r>
          </w:p>
        </w:tc>
        <w:tc>
          <w:tcPr>
            <w:tcW w:type="dxa" w:w="2492"/>
          </w:tcPr>
          <w:p>
            <w:pPr>
              <w:pStyle w:val="null3"/>
            </w:pPr>
            <w:r>
              <w:rPr>
                <w:rFonts w:ascii="仿宋_GB2312" w:hAnsi="仿宋_GB2312" w:cs="仿宋_GB2312" w:eastAsia="仿宋_GB2312"/>
              </w:rPr>
              <w:t>一、评审内容 响应人提供本项目的大型活动安保方案，包括：①大型活动；②大型会议；③上级检查。 二、赋分标准 1、完整性：方案内容完整全面，对上述各项内容均有详细描述及说明，得2分；每缺1项，扣1分；不提供不得分. 2、针对性：针对性强，得1分；针对性一般，得0.5分；缺乏针对性，得0分。 3、可实施性：可实施性强，得1分；可实施性一般，得0.5分；缺乏可实施性，得0分。 4、此项不提供不得分。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2022年1月1日以来类似项目业绩（以合同签订日期为准），每份合格业绩合同计2分，满分4分； 备注：须提供完整合同业绩及对应发票复印件（发票可提供服务期内任意一张），并加盖供应商公章，以上两种证明材料同时提供方可得分，否则不得分。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业绩资料.docx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1.承诺：接受采购人对本项目服务的考核、监督及管理， 定期调研采购人对服务质量的满意度并加以改进，确保服务工作的优质高效，得2分。无承诺不得分。 2.承诺：上岗人员固定，不随意更换，若出现服务人员因事、病等不能工作的，能及时调整其他服务人员补充，确保服务工作的正常进行。人事变动及人事任免权由医院保卫科考查任命；人员辞退权归医院保卫科。得2分。无承诺不得分。 3.服务优化：针对本项目工作提出合理化建议，提供特色的管理服务思路和措施、增值服务等，每项1分，最多得2分。无建议不得分。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详见附件：资格要求（营业执照）.docx</w:t>
      </w:r>
    </w:p>
    <w:p>
      <w:pPr>
        <w:pStyle w:val="null3"/>
        <w:ind w:firstLine="960"/>
      </w:pPr>
      <w:r>
        <w:rPr>
          <w:rFonts w:ascii="仿宋_GB2312" w:hAnsi="仿宋_GB2312" w:cs="仿宋_GB2312" w:eastAsia="仿宋_GB2312"/>
        </w:rPr>
        <w:t>详见附件：保安服务许可证.docx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详见附件：非联合体投标不得分包、转包声明函.docx</w:t>
      </w:r>
    </w:p>
    <w:p>
      <w:pPr>
        <w:pStyle w:val="null3"/>
        <w:ind w:firstLine="960"/>
      </w:pPr>
      <w:r>
        <w:rPr>
          <w:rFonts w:ascii="仿宋_GB2312" w:hAnsi="仿宋_GB2312" w:cs="仿宋_GB2312" w:eastAsia="仿宋_GB2312"/>
        </w:rPr>
        <w:t>详见附件：业绩资料.docx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详见附件：县医院保安服务合同模板.docx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