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版本号：2026-（1）1462-CG（1）93.1B120260306001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勉县高标准农田建设底数核查项目服务采购(二次)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2026-（1）1462-CG（1）93.1B1</w:t>
      </w:r>
      <w:r>
        <w:br/>
      </w:r>
      <w:r>
        <w:br/>
      </w:r>
      <w:r>
        <w:br/>
      </w:r>
    </w:p>
    <w:p>
      <w:pPr>
        <w:pStyle w:val="null3"/>
        <w:jc w:val="center"/>
        <w:outlineLvl w:val="2"/>
      </w:pPr>
      <w:r>
        <w:rPr>
          <w:rFonts w:ascii="仿宋_GB2312" w:hAnsi="仿宋_GB2312" w:cs="仿宋_GB2312" w:eastAsia="仿宋_GB2312"/>
          <w:sz w:val="28"/>
          <w:b/>
        </w:rPr>
        <w:t>勉县农业农村局</w:t>
      </w:r>
    </w:p>
    <w:p>
      <w:pPr>
        <w:pStyle w:val="null3"/>
        <w:jc w:val="center"/>
        <w:outlineLvl w:val="2"/>
      </w:pPr>
      <w:r>
        <w:rPr>
          <w:rFonts w:ascii="仿宋_GB2312" w:hAnsi="仿宋_GB2312" w:cs="仿宋_GB2312" w:eastAsia="仿宋_GB2312"/>
          <w:sz w:val="28"/>
          <w:b/>
        </w:rPr>
        <w:t>陕西汇鑫林丰项目管理有限责任公司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陕西汇鑫林丰项目管理有限责任公司</w:t>
      </w:r>
      <w:r>
        <w:rPr>
          <w:rFonts w:ascii="仿宋_GB2312" w:hAnsi="仿宋_GB2312" w:cs="仿宋_GB2312" w:eastAsia="仿宋_GB2312"/>
        </w:rPr>
        <w:t>（以下简称“代理机构”）受</w:t>
      </w:r>
      <w:r>
        <w:rPr>
          <w:rFonts w:ascii="仿宋_GB2312" w:hAnsi="仿宋_GB2312" w:cs="仿宋_GB2312" w:eastAsia="仿宋_GB2312"/>
        </w:rPr>
        <w:t>勉县农业农村局</w:t>
      </w:r>
      <w:r>
        <w:rPr>
          <w:rFonts w:ascii="仿宋_GB2312" w:hAnsi="仿宋_GB2312" w:cs="仿宋_GB2312" w:eastAsia="仿宋_GB2312"/>
        </w:rPr>
        <w:t>委托，拟对</w:t>
      </w:r>
      <w:r>
        <w:rPr>
          <w:rFonts w:ascii="仿宋_GB2312" w:hAnsi="仿宋_GB2312" w:cs="仿宋_GB2312" w:eastAsia="仿宋_GB2312"/>
        </w:rPr>
        <w:t>勉县高标准农田建设底数核查项目服务采购(二次)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2026-（1）1462-CG（1）93.1B1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勉县高标准农田建设底数核查项目服务采购(二次)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本次采购内容包括项目图斑去重、制作工程项目电子地图及形成核查成果、制作专题数据库等。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采购包1（勉县高标准农田建设底数核查项目服务采购）：属于专门面向中小企业采购。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4、特定资格要求4：供应商须具有测绘乙级及以上资质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勉县和平路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18691692811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陕西汇鑫林丰项目管理有限责任公司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陕西省汉中市汉台区东一环路盛世国际写字楼2107号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开户名称：陕西汇鑫林丰项目管理有限责任公司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银行账号：61050165500000000788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勉县农业农村局</w:t>
      </w:r>
      <w:r>
        <w:rPr>
          <w:rFonts w:ascii="仿宋_GB2312" w:hAnsi="仿宋_GB2312" w:cs="仿宋_GB2312" w:eastAsia="仿宋_GB2312"/>
        </w:rPr>
        <w:t>和</w:t>
      </w:r>
      <w:r>
        <w:rPr>
          <w:rFonts w:ascii="仿宋_GB2312" w:hAnsi="仿宋_GB2312" w:cs="仿宋_GB2312" w:eastAsia="仿宋_GB2312"/>
        </w:rPr>
        <w:t>陕西汇鑫林丰项目管理有限责任公司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陕西汇鑫林丰项目管理有限责任公司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陕西汇鑫林丰项目管理有限责任公司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联系电话：0916-8820189</w:t>
      </w:r>
    </w:p>
    <w:p>
      <w:pPr>
        <w:pStyle w:val="null3"/>
      </w:pPr>
      <w:r>
        <w:rPr>
          <w:rFonts w:ascii="仿宋_GB2312" w:hAnsi="仿宋_GB2312" w:cs="仿宋_GB2312" w:eastAsia="仿宋_GB2312"/>
        </w:rPr>
        <w:t>地址：陕西省汉中市汉台区东一环路盛世国际写字楼2107号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本次采购内容包括项目图斑去重、制作工程项目电子地图及形成核查成果、制作专题数据库等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地质勘测服务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标的名称：地质勘测服务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666666"/>
                <w:shd w:fill="FFFFFF" w:val="clear"/>
              </w:rPr>
              <w:t>（</w:t>
            </w:r>
            <w:r>
              <w:rPr>
                <w:rFonts w:ascii="仿宋_GB2312" w:hAnsi="仿宋_GB2312" w:cs="仿宋_GB2312" w:eastAsia="仿宋_GB2312"/>
                <w:sz w:val="21"/>
                <w:color w:val="666666"/>
                <w:shd w:fill="FFFFFF" w:val="clear"/>
              </w:rPr>
              <w:t>1）核对项目信息，完成数据质量检查：针对全国农田建设监测监管平台中已填报的项目，按照类别核对信息，包括项目名称、属性信息、项目矢量，按照要求分别整理项目信息。历史项目补录重点核对项目与“十二五”清查评估项目有无重复的情况，以及项目信息是否完整。对未纳入全国农田建设综合监测监管平台的项目，根据项目类别按照要求分别整理项目信息，并按格式要求整理项目数据，要求字段规范、图属一致，并符合《高标准农田底数核查质量检查技术规则》的有关标准。 （2） 底图制作：明确底图制作所需的项目清单与空间图形数据。覆盖2011-2018年历史项目与2019-2024年立项建设项目，</w:t>
            </w:r>
            <w:r>
              <w:rPr>
                <w:rFonts w:ascii="仿宋_GB2312" w:hAnsi="仿宋_GB2312" w:cs="仿宋_GB2312" w:eastAsia="仿宋_GB2312"/>
                <w:sz w:val="21"/>
                <w:color w:val="666666"/>
                <w:shd w:fill="FFFFFF" w:val="clear"/>
              </w:rPr>
              <w:t>开展</w:t>
            </w:r>
            <w:r>
              <w:rPr>
                <w:rFonts w:ascii="仿宋_GB2312" w:hAnsi="仿宋_GB2312" w:cs="仿宋_GB2312" w:eastAsia="仿宋_GB2312"/>
                <w:sz w:val="21"/>
                <w:color w:val="666666"/>
                <w:shd w:fill="FFFFFF" w:val="clear"/>
              </w:rPr>
              <w:t>坐标转换、图斑去重分析、图斑合并等数据处理，形成工作底图，并逐项统计原始图斑面积、重叠面积及去重后的图斑面积，摸清建成面积底数和交叉重叠面积，（</w:t>
            </w:r>
            <w:r>
              <w:rPr>
                <w:rFonts w:ascii="仿宋_GB2312" w:hAnsi="仿宋_GB2312" w:cs="仿宋_GB2312" w:eastAsia="仿宋_GB2312"/>
                <w:sz w:val="21"/>
                <w:color w:val="666666"/>
                <w:shd w:fill="FFFFFF" w:val="clear"/>
              </w:rPr>
              <w:t>3）数据套合分析：基于工作底图，分年度、分阶段与相关专题数据进行空间套合分析，摸清高标准农田建设情况、保有情况及待建规模等底数。套合数据包括本县第二次全国国</w:t>
            </w:r>
            <w:r>
              <w:rPr>
                <w:rFonts w:ascii="仿宋_GB2312" w:hAnsi="仿宋_GB2312" w:cs="仿宋_GB2312" w:eastAsia="仿宋_GB2312"/>
                <w:sz w:val="21"/>
                <w:color w:val="666666"/>
                <w:shd w:fill="FFFFFF" w:val="clear"/>
              </w:rPr>
              <w:t>土</w:t>
            </w:r>
            <w:r>
              <w:rPr>
                <w:rFonts w:ascii="仿宋_GB2312" w:hAnsi="仿宋_GB2312" w:cs="仿宋_GB2312" w:eastAsia="仿宋_GB2312"/>
                <w:sz w:val="21"/>
                <w:color w:val="666666"/>
                <w:shd w:fill="FFFFFF" w:val="clear"/>
              </w:rPr>
              <w:t>调查成果、第三次全国国</w:t>
            </w:r>
            <w:r>
              <w:rPr>
                <w:rFonts w:ascii="仿宋_GB2312" w:hAnsi="仿宋_GB2312" w:cs="仿宋_GB2312" w:eastAsia="仿宋_GB2312"/>
                <w:sz w:val="21"/>
                <w:color w:val="666666"/>
                <w:shd w:fill="FFFFFF" w:val="clear"/>
              </w:rPr>
              <w:t>土</w:t>
            </w:r>
            <w:r>
              <w:rPr>
                <w:rFonts w:ascii="仿宋_GB2312" w:hAnsi="仿宋_GB2312" w:cs="仿宋_GB2312" w:eastAsia="仿宋_GB2312"/>
                <w:sz w:val="21"/>
                <w:color w:val="666666"/>
                <w:shd w:fill="FFFFFF" w:val="clear"/>
              </w:rPr>
              <w:t>调查成果、</w:t>
            </w:r>
            <w:r>
              <w:rPr>
                <w:rFonts w:ascii="仿宋_GB2312" w:hAnsi="仿宋_GB2312" w:cs="仿宋_GB2312" w:eastAsia="仿宋_GB2312"/>
                <w:sz w:val="21"/>
                <w:color w:val="666666"/>
                <w:shd w:fill="FFFFFF" w:val="clear"/>
              </w:rPr>
              <w:t>2022和2023年度国土变更调查成果、永久基本农田保护红线数据、生态保护红线数据、大中型灌区数据，并同步开展高标准农田建设禁止区域、限制区域数据收集、整理分析，成果报送高标准农田整治省级专班核查组。(4)实地核验：对全县32.07万亩高标准农田结合套合分析结果，既要对审计、财政监督反映的数据不实问题整改结果进行实地核验，也要对套合分析结果与实际情况出入较大的地区，进行分析校正,确保数据准确性。核查对象涵盖面积不实、图数与实地不符、永久基本农田内建设地块存疑及其他内业无法核清的项目。核查首先经国土调查成果套合、遥感影像比对等内业分析，其次用平面定位精度优于 1m 的外业设备开展实地核查。具体实地核查包括三方面：①面积与空间位置核查，先完成内业叠加比对，边界不明则实地采集拐点坐标，按要求更正矢量图斑并填写记录表、拍摄实地照片（分辨率不低于1920*1080，保存格式为JPG，照片EXIF信息中包含定位坐标、拍摄时间、拍摄地点、拍摄方位角等）、留存佐证材料；②地类核查，内业提取非耕地图斑比对遥感影像，无法判定则实地核实，确为耕地的变更标注并纳入建成面积统计，同步完成记录表和佐证材料收集；③其他情况核查，各地因地制宜制定标准，细化永久基本农田内待建地块等核查要求。省市严格把关实地核查成果质量，落实逐级审核责任，核查成果需提供修改前后数据，佐证材料需符合坐标、分辨率、命名等规范要求。最终搞准摸清全县高标准农田现状，彻查落实数地不符问题整改，梳理分析新建潜力和改造需求，健全完善项目“建用管”机制制度，实现高标准农田“底数清、位置准、情况明”的目标，为科学规划建设项目、动态监测检测建设成效、高质量推进建设工作提供支撑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按省厅要求分阶段提交成果，最终以省级要求时间为准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标准：满足《高标准农田建设底数核查相关技术规则》等相关标准；方法：满足国家、省、市相关规定及行业现行技术标准、规范要求。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完成基础工作，提交初步成果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提交最终成果并通过验收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供应商缴纳磋商保证金时备注项目名称，将磋商保证金缴纳凭证附在响应文件中。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供应商须具有测绘乙级及以上资质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具体按照财政部《关于推动解决政府采购异常低价问题的通知》（财库[2026]2号）文件执行。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响应文件签字、盖章及投标（响应）有效期、磋商保证金符合采购文件要求。</w:t>
            </w:r>
          </w:p>
        </w:tc>
        <w:tc>
          <w:tcPr>
            <w:tcW w:type="dxa" w:w="1661"/>
          </w:tcPr>
          <w:p>
            <w:pPr>
              <w:pStyle w:val="null3"/>
            </w:pPr>
            <w:r>
              <w:rPr>
                <w:rFonts w:ascii="仿宋_GB2312" w:hAnsi="仿宋_GB2312" w:cs="仿宋_GB2312" w:eastAsia="仿宋_GB2312"/>
              </w:rPr>
              <w:t>响应文件封面 分项报价表.docx 磋商保证金.docx 服务内容及服务邀请应答表 供应商类似项目业绩一览表.docx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服务内容及服务邀请应答表 商务应答表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供应商针对本项目的总体服务方案，至少包含：①项目实施总体思路以及对本项目的理解程度；②服务范围；③服务内容；④服务标准；⑤实施方案；⑥人员组织架构及分工；⑦现场协调管理措施；⑧服务体系建设。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①项目实施总体思路以及对本项目的理解程度：每完全满足一个评审标准得1分，满分3分； ②服务范围：每完全满足一个评审标准得1分，满分3分； ③服务内容：每完全满足一个评审标准得1分，满分3分； ④服务标准：每完全满足一个评审标准得1分，满分3分； ⑤实施方案：每完全满足一个评审标准得1分，满分3分 ； ⑥人员组织架构及分工：每完全满足一个评审标准得 1分，满分3分； ⑦现场协调管理措施：每完全满足一个评审标准得 1分，满分3分； ⑧服务体系建设：每完全满足一个评审标准得 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一、评审内容 根据供应商针对本项目编制完善的项目重点、难点分析，至少包含：①项目现状分析；②重点、难点阐述；③ 解决方案。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①项目现状分析：每完全满足一个评审标准得1分，满分3分； ②重点、难点阐述：每完全满足一个评审标准得1.5分，满分4.5分； ③ 解决方案：每完全满足一个评审标准得1.5分，满分4.5分。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质量控制及保证措施</w:t>
            </w:r>
          </w:p>
        </w:tc>
        <w:tc>
          <w:tcPr>
            <w:tcW w:type="dxa" w:w="2492"/>
          </w:tcPr>
          <w:p>
            <w:pPr>
              <w:pStyle w:val="null3"/>
            </w:pPr>
            <w:r>
              <w:rPr>
                <w:rFonts w:ascii="仿宋_GB2312" w:hAnsi="仿宋_GB2312" w:cs="仿宋_GB2312" w:eastAsia="仿宋_GB2312"/>
              </w:rPr>
              <w:t>一、评审内容 根据供应商针对本项目服务过程中的质量控制及保证措施，至少包括：①技术推进保障措施；②质量控制体系。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①技术推进保障措施：每完全满足一个评审标准得1分，满分3分； ②质量控制体系：每完全满足一个评审标准得1分，满分3分。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根据供应商针对本项目编制完善的项目进度安排，至少包含：①进度目标和进度计划；②进度保证措施。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①进度目标和进度计划：每完全满足一个评审标准得1分，满分3分； ②进度保证措施：每完全满足一个评审标准得1分，满分3分。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技术设备保障</w:t>
            </w:r>
          </w:p>
        </w:tc>
        <w:tc>
          <w:tcPr>
            <w:tcW w:type="dxa" w:w="2492"/>
          </w:tcPr>
          <w:p>
            <w:pPr>
              <w:pStyle w:val="null3"/>
            </w:pPr>
            <w:r>
              <w:rPr>
                <w:rFonts w:ascii="仿宋_GB2312" w:hAnsi="仿宋_GB2312" w:cs="仿宋_GB2312" w:eastAsia="仿宋_GB2312"/>
              </w:rPr>
              <w:t>一、评审内容 根据供应商针对本项目的技术设备与工具保障，至少包含：①硬件设备相关仪器投入计划安排；②软件投入。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①硬件设备相关仪器投入计划安排：每完全满足一个评审标准得1分，满分3分； ②软件投入：每完全满足一个评审标准得1分，满分3分。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一、评审内容 根据供应商针对本项目的突发事件及安全保障方案，至少包含：①应急预案；②安全保障措施。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①应急预案：每完全满足一个评审标准得1分，满分3分； ②安全保障措施：每完全满足一个评审标准得1分，满分3分。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根据供应商针对本项目的售后服务承诺，至少包含：①售后技术服务方案及措施；②成果保密措施。 二、评审标准 1、完整性：内容全面，对评审内容中的各项要求有详细的描述及说明； 2、可实施性：切合本项目实际情况，步骤清晰、合理，操作性强； 3、针对性：方案紧扣项目特点及需求，内容科学合理。 三、赋分标准：针对每条评审标准，每存在1处缺陷扣0.5分，扣完为止（缺陷是指内容不合理、虽有内容但不完善、内容表述前后不一致、套用其他项目或与项目需求不匹配及其他不利于项目实施的等任意一种情形） ①售后技术服务方案及措施：每完全满足一个评审标准得1分，满分3分； ②成果保密措施：每完全满足一个评审标准得1分，满分3分。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关键问题应对措施</w:t>
            </w:r>
          </w:p>
        </w:tc>
        <w:tc>
          <w:tcPr>
            <w:tcW w:type="dxa" w:w="2492"/>
          </w:tcPr>
          <w:p>
            <w:pPr>
              <w:pStyle w:val="null3"/>
            </w:pPr>
            <w:r>
              <w:rPr>
                <w:rFonts w:ascii="仿宋_GB2312" w:hAnsi="仿宋_GB2312" w:cs="仿宋_GB2312" w:eastAsia="仿宋_GB2312"/>
              </w:rPr>
              <w:t>针对碎片化地块、界址不清、已建工程与现状不符等问题，提供具体核查与认定方法的应对措施；措施明确，内容完整，针对性强能有效解决问题的得7分；措施相对明确，内容基本完整，基本能解决问题得4分；措施不明确，内容不完整，不能解决问题的，得2分；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 项目负责人同时具备相关专业高级及以上技术职称和注册测绘师的得 3分，项目负责人具备相关专业高级及以上技术职称或注册测绘师的得 2分，项目负责人具备相关专业中级技术职称得 1分，最高得3分（提供相关证件、身份证、近期个人社保缴纳证明，未提供者不得分）。 2. 拟投入本项目的其他人员（除项目负责人外）中具备相关专业中级及以上技术职称的，每提供 1 个得 1 分，最高得 6分（提供相关证件、身份证、近期个人社保缴纳证明，未提供者不得分）。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类似项目</w:t>
            </w:r>
          </w:p>
        </w:tc>
        <w:tc>
          <w:tcPr>
            <w:tcW w:type="dxa" w:w="2492"/>
          </w:tcPr>
          <w:p>
            <w:pPr>
              <w:pStyle w:val="null3"/>
            </w:pPr>
            <w:r>
              <w:rPr>
                <w:rFonts w:ascii="仿宋_GB2312" w:hAnsi="仿宋_GB2312" w:cs="仿宋_GB2312" w:eastAsia="仿宋_GB2312"/>
              </w:rPr>
              <w:t>供应商提供2023年1月1日至今的类似项目业绩，每提供一个业绩得1分，满分得8分。注：以中标通知书或者合同协议书复印件为准，未提供者不得分。本项目为测绘类项目。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详见附件：主要人员简历表.docx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