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65286">
      <w:pPr>
        <w:spacing w:line="460" w:lineRule="exact"/>
        <w:ind w:right="-301" w:rightChars="-94"/>
        <w:jc w:val="center"/>
        <w:rPr>
          <w:rFonts w:hint="eastAsia" w:ascii="宋体" w:hAnsi="宋体" w:eastAsia="宋体" w:cs="宋体"/>
          <w:b/>
          <w:color w:val="auto"/>
          <w:sz w:val="22"/>
          <w:szCs w:val="22"/>
          <w:highlight w:val="none"/>
          <w:lang w:eastAsia="zh-CN"/>
        </w:rPr>
      </w:pPr>
      <w:bookmarkStart w:id="0" w:name="_Toc145989449"/>
      <w:bookmarkStart w:id="1" w:name="_Toc132684565"/>
      <w:bookmarkStart w:id="2" w:name="_Toc169940955"/>
      <w:r>
        <w:rPr>
          <w:rFonts w:hint="eastAsia" w:ascii="宋体" w:hAnsi="宋体" w:eastAsia="宋体" w:cs="宋体"/>
          <w:b/>
          <w:color w:val="auto"/>
          <w:sz w:val="21"/>
          <w:szCs w:val="21"/>
          <w:highlight w:val="none"/>
          <w:lang w:eastAsia="zh-CN"/>
        </w:rPr>
        <w:t>（此模板</w:t>
      </w:r>
      <w:r>
        <w:rPr>
          <w:rFonts w:hint="eastAsia" w:ascii="宋体" w:hAnsi="宋体" w:eastAsia="宋体" w:cs="宋体"/>
          <w:b/>
          <w:color w:val="auto"/>
          <w:sz w:val="21"/>
          <w:szCs w:val="21"/>
          <w:highlight w:val="none"/>
        </w:rPr>
        <w:t>供参考</w:t>
      </w:r>
      <w:r>
        <w:rPr>
          <w:rFonts w:hint="eastAsia" w:ascii="宋体" w:hAnsi="宋体" w:eastAsia="宋体" w:cs="宋体"/>
          <w:b/>
          <w:color w:val="auto"/>
          <w:sz w:val="21"/>
          <w:szCs w:val="21"/>
          <w:highlight w:val="none"/>
          <w:lang w:eastAsia="zh-CN"/>
        </w:rPr>
        <w:t>，使用过程中请结合项目特点，充实细化。最终稿</w:t>
      </w:r>
      <w:r>
        <w:rPr>
          <w:rFonts w:hint="eastAsia" w:ascii="宋体" w:hAnsi="宋体" w:eastAsia="宋体" w:cs="宋体"/>
          <w:b/>
          <w:color w:val="auto"/>
          <w:sz w:val="21"/>
          <w:szCs w:val="21"/>
          <w:highlight w:val="none"/>
          <w:lang w:val="en-US" w:eastAsia="zh-CN"/>
        </w:rPr>
        <w:t>以甲乙双方实际签订为准</w:t>
      </w:r>
      <w:r>
        <w:rPr>
          <w:rFonts w:hint="eastAsia" w:ascii="宋体" w:hAnsi="宋体" w:eastAsia="宋体" w:cs="宋体"/>
          <w:b/>
          <w:color w:val="auto"/>
          <w:sz w:val="21"/>
          <w:szCs w:val="21"/>
          <w:highlight w:val="none"/>
          <w:lang w:eastAsia="zh-CN"/>
        </w:rPr>
        <w:t>）</w:t>
      </w:r>
    </w:p>
    <w:p w14:paraId="58600B21">
      <w:pPr>
        <w:jc w:val="center"/>
        <w:rPr>
          <w:rFonts w:hint="eastAsia" w:ascii="宋体" w:hAnsi="宋体" w:eastAsia="宋体" w:cs="宋体"/>
          <w:b/>
          <w:color w:val="auto"/>
          <w:sz w:val="32"/>
          <w:szCs w:val="32"/>
          <w:highlight w:val="none"/>
        </w:rPr>
      </w:pPr>
    </w:p>
    <w:p w14:paraId="0BEBBC2E">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1602B01F">
      <w:pPr>
        <w:rPr>
          <w:rFonts w:hint="eastAsia" w:ascii="宋体" w:hAnsi="宋体" w:eastAsia="宋体" w:cs="宋体"/>
          <w:b/>
          <w:color w:val="auto"/>
          <w:sz w:val="32"/>
          <w:szCs w:val="32"/>
          <w:highlight w:val="none"/>
        </w:rPr>
      </w:pPr>
    </w:p>
    <w:p w14:paraId="75A389D4">
      <w:pPr>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30654EE3">
      <w:pPr>
        <w:ind w:firstLine="964"/>
        <w:jc w:val="center"/>
        <w:rPr>
          <w:rFonts w:hint="eastAsia" w:ascii="宋体" w:hAnsi="宋体" w:eastAsia="宋体" w:cs="宋体"/>
          <w:b/>
          <w:snapToGrid w:val="0"/>
          <w:color w:val="auto"/>
          <w:sz w:val="48"/>
          <w:szCs w:val="48"/>
          <w:highlight w:val="none"/>
        </w:rPr>
      </w:pPr>
    </w:p>
    <w:p w14:paraId="7FBB61EE">
      <w:pPr>
        <w:ind w:firstLine="3566" w:firstLineChars="1184"/>
        <w:rPr>
          <w:rFonts w:hint="eastAsia" w:ascii="宋体" w:hAnsi="宋体" w:eastAsia="宋体" w:cs="宋体"/>
          <w:b/>
          <w:snapToGrid w:val="0"/>
          <w:color w:val="auto"/>
          <w:sz w:val="30"/>
          <w:szCs w:val="30"/>
          <w:highlight w:val="none"/>
          <w:u w:val="single"/>
        </w:rPr>
      </w:pPr>
      <w:r>
        <w:rPr>
          <w:rFonts w:hint="eastAsia" w:ascii="宋体" w:hAnsi="宋体" w:eastAsia="宋体" w:cs="宋体"/>
          <w:b/>
          <w:snapToGrid w:val="0"/>
          <w:color w:val="auto"/>
          <w:sz w:val="30"/>
          <w:szCs w:val="30"/>
          <w:highlight w:val="none"/>
          <w:u w:val="single"/>
        </w:rPr>
        <w:t>（项目名称）</w:t>
      </w:r>
    </w:p>
    <w:p w14:paraId="659B20BB">
      <w:pPr>
        <w:ind w:firstLine="3566" w:firstLineChars="1184"/>
        <w:rPr>
          <w:rFonts w:hint="eastAsia" w:ascii="宋体" w:hAnsi="宋体" w:eastAsia="宋体" w:cs="宋体"/>
          <w:b/>
          <w:snapToGrid w:val="0"/>
          <w:color w:val="auto"/>
          <w:sz w:val="30"/>
          <w:szCs w:val="30"/>
          <w:highlight w:val="none"/>
          <w:u w:val="single"/>
          <w:lang w:val="en-US" w:eastAsia="zh-CN"/>
        </w:rPr>
      </w:pPr>
      <w:r>
        <w:rPr>
          <w:rFonts w:hint="eastAsia" w:ascii="宋体" w:hAnsi="宋体" w:eastAsia="宋体" w:cs="宋体"/>
          <w:b/>
          <w:snapToGrid w:val="0"/>
          <w:color w:val="auto"/>
          <w:sz w:val="30"/>
          <w:szCs w:val="30"/>
          <w:highlight w:val="none"/>
          <w:u w:val="single"/>
          <w:lang w:val="en-US" w:eastAsia="zh-CN"/>
        </w:rPr>
        <w:t>（包号）</w:t>
      </w:r>
    </w:p>
    <w:p w14:paraId="1FE4350C">
      <w:pPr>
        <w:pStyle w:val="7"/>
        <w:rPr>
          <w:rFonts w:hint="eastAsia" w:ascii="宋体" w:hAnsi="宋体" w:eastAsia="宋体" w:cs="宋体"/>
          <w:b/>
          <w:snapToGrid w:val="0"/>
          <w:color w:val="auto"/>
          <w:sz w:val="48"/>
          <w:szCs w:val="48"/>
          <w:highlight w:val="none"/>
        </w:rPr>
      </w:pPr>
    </w:p>
    <w:p w14:paraId="36308C7A">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合 同</w:t>
      </w:r>
    </w:p>
    <w:p w14:paraId="02FE9A74">
      <w:pPr>
        <w:ind w:firstLine="600"/>
        <w:jc w:val="center"/>
        <w:rPr>
          <w:rFonts w:hint="eastAsia" w:ascii="宋体" w:hAnsi="宋体" w:eastAsia="宋体" w:cs="宋体"/>
          <w:color w:val="auto"/>
          <w:sz w:val="30"/>
          <w:szCs w:val="30"/>
          <w:highlight w:val="none"/>
        </w:rPr>
      </w:pPr>
    </w:p>
    <w:p w14:paraId="4C3B5044">
      <w:pPr>
        <w:pStyle w:val="3"/>
        <w:rPr>
          <w:rFonts w:hint="eastAsia" w:ascii="宋体" w:hAnsi="宋体" w:eastAsia="宋体" w:cs="宋体"/>
          <w:color w:val="auto"/>
          <w:sz w:val="30"/>
          <w:szCs w:val="30"/>
          <w:highlight w:val="none"/>
        </w:rPr>
      </w:pPr>
    </w:p>
    <w:p w14:paraId="38C0F1A4">
      <w:pPr>
        <w:pStyle w:val="3"/>
        <w:rPr>
          <w:rFonts w:hint="eastAsia" w:ascii="宋体" w:hAnsi="宋体" w:eastAsia="宋体" w:cs="宋体"/>
          <w:color w:val="auto"/>
          <w:sz w:val="30"/>
          <w:szCs w:val="30"/>
          <w:highlight w:val="none"/>
        </w:rPr>
      </w:pPr>
    </w:p>
    <w:p w14:paraId="43D4F09F">
      <w:pPr>
        <w:pStyle w:val="3"/>
        <w:rPr>
          <w:rFonts w:hint="eastAsia" w:ascii="宋体" w:hAnsi="宋体" w:eastAsia="宋体" w:cs="宋体"/>
          <w:color w:val="auto"/>
          <w:sz w:val="30"/>
          <w:szCs w:val="30"/>
          <w:highlight w:val="none"/>
        </w:rPr>
      </w:pPr>
    </w:p>
    <w:p w14:paraId="5C10169E">
      <w:pPr>
        <w:pStyle w:val="3"/>
        <w:rPr>
          <w:rFonts w:hint="eastAsia" w:ascii="宋体" w:hAnsi="宋体" w:eastAsia="宋体" w:cs="宋体"/>
          <w:color w:val="auto"/>
          <w:sz w:val="30"/>
          <w:szCs w:val="30"/>
          <w:highlight w:val="none"/>
        </w:rPr>
      </w:pPr>
    </w:p>
    <w:p w14:paraId="52926500">
      <w:pPr>
        <w:pStyle w:val="3"/>
        <w:rPr>
          <w:rFonts w:hint="eastAsia" w:ascii="宋体" w:hAnsi="宋体" w:eastAsia="宋体" w:cs="宋体"/>
          <w:color w:val="auto"/>
          <w:sz w:val="30"/>
          <w:szCs w:val="30"/>
          <w:highlight w:val="none"/>
        </w:rPr>
      </w:pPr>
    </w:p>
    <w:p w14:paraId="7245FBE8">
      <w:pPr>
        <w:pStyle w:val="3"/>
        <w:rPr>
          <w:rFonts w:hint="eastAsia" w:ascii="宋体" w:hAnsi="宋体" w:eastAsia="宋体" w:cs="宋体"/>
          <w:color w:val="auto"/>
          <w:sz w:val="30"/>
          <w:szCs w:val="30"/>
          <w:highlight w:val="none"/>
        </w:rPr>
      </w:pPr>
    </w:p>
    <w:p w14:paraId="7114E57D">
      <w:pPr>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29E521A7">
      <w:pPr>
        <w:tabs>
          <w:tab w:val="left" w:pos="480"/>
        </w:tabs>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p w14:paraId="2CC1EB78">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w:t>
      </w:r>
    </w:p>
    <w:p w14:paraId="76229BAD">
      <w:pPr>
        <w:widowControl/>
        <w:jc w:val="center"/>
        <w:rPr>
          <w:rFonts w:hint="eastAsia" w:ascii="宋体" w:hAnsi="宋体" w:eastAsia="宋体" w:cs="宋体"/>
          <w:bCs/>
          <w:color w:val="auto"/>
          <w:kern w:val="0"/>
          <w:sz w:val="24"/>
          <w:szCs w:val="24"/>
          <w:highlight w:val="none"/>
        </w:rPr>
      </w:pPr>
    </w:p>
    <w:p w14:paraId="1B11CCDC">
      <w:pPr>
        <w:pStyle w:val="2"/>
        <w:rPr>
          <w:rFonts w:hint="eastAsia" w:ascii="宋体" w:hAnsi="宋体" w:eastAsia="宋体" w:cs="宋体"/>
          <w:bCs/>
          <w:color w:val="auto"/>
          <w:kern w:val="0"/>
          <w:sz w:val="24"/>
          <w:szCs w:val="24"/>
          <w:highlight w:val="none"/>
        </w:rPr>
      </w:pPr>
    </w:p>
    <w:p w14:paraId="15076136">
      <w:pPr>
        <w:rPr>
          <w:rFonts w:hint="eastAsia" w:ascii="宋体" w:hAnsi="宋体" w:eastAsia="宋体" w:cs="宋体"/>
          <w:bCs/>
          <w:color w:val="auto"/>
          <w:kern w:val="0"/>
          <w:sz w:val="24"/>
          <w:szCs w:val="24"/>
          <w:highlight w:val="none"/>
        </w:rPr>
      </w:pPr>
    </w:p>
    <w:p w14:paraId="4B72C76A">
      <w:pPr>
        <w:pStyle w:val="2"/>
        <w:rPr>
          <w:rFonts w:hint="eastAsia" w:ascii="宋体" w:hAnsi="宋体" w:eastAsia="宋体" w:cs="宋体"/>
          <w:bCs/>
          <w:color w:val="auto"/>
          <w:kern w:val="0"/>
          <w:sz w:val="24"/>
          <w:szCs w:val="24"/>
          <w:highlight w:val="none"/>
        </w:rPr>
      </w:pPr>
    </w:p>
    <w:p w14:paraId="49332D5B">
      <w:pPr>
        <w:rPr>
          <w:rFonts w:hint="eastAsia" w:ascii="宋体" w:hAnsi="宋体" w:eastAsia="宋体" w:cs="宋体"/>
          <w:bCs/>
          <w:color w:val="auto"/>
          <w:kern w:val="0"/>
          <w:sz w:val="24"/>
          <w:szCs w:val="24"/>
          <w:highlight w:val="none"/>
        </w:rPr>
      </w:pPr>
    </w:p>
    <w:p w14:paraId="3A321938">
      <w:pPr>
        <w:rPr>
          <w:rFonts w:hint="eastAsia" w:ascii="宋体" w:hAnsi="宋体" w:eastAsia="宋体" w:cs="宋体"/>
          <w:bCs/>
          <w:color w:val="auto"/>
          <w:kern w:val="0"/>
          <w:sz w:val="24"/>
          <w:szCs w:val="24"/>
          <w:highlight w:val="none"/>
        </w:rPr>
      </w:pPr>
    </w:p>
    <w:p w14:paraId="158696C3">
      <w:pPr>
        <w:pStyle w:val="2"/>
        <w:rPr>
          <w:rFonts w:hint="eastAsia" w:ascii="宋体" w:hAnsi="宋体" w:eastAsia="宋体" w:cs="宋体"/>
          <w:bCs/>
          <w:color w:val="auto"/>
          <w:kern w:val="0"/>
          <w:sz w:val="24"/>
          <w:szCs w:val="24"/>
          <w:highlight w:val="none"/>
        </w:rPr>
      </w:pPr>
    </w:p>
    <w:p w14:paraId="0104B0C4">
      <w:pPr>
        <w:rPr>
          <w:rFonts w:hint="eastAsia"/>
        </w:rPr>
      </w:pPr>
    </w:p>
    <w:bookmarkEnd w:id="0"/>
    <w:bookmarkEnd w:id="1"/>
    <w:bookmarkEnd w:id="2"/>
    <w:p w14:paraId="765C2148">
      <w:pPr>
        <w:tabs>
          <w:tab w:val="left" w:pos="5040"/>
        </w:tabs>
        <w:spacing w:line="720" w:lineRule="auto"/>
        <w:jc w:val="both"/>
        <w:rPr>
          <w:rFonts w:hint="eastAsia" w:ascii="宋体" w:hAnsi="宋体" w:eastAsia="宋体" w:cs="宋体"/>
          <w:b/>
          <w:bCs/>
          <w:color w:val="auto"/>
          <w:sz w:val="24"/>
          <w:szCs w:val="24"/>
          <w:highlight w:val="none"/>
          <w:lang w:val="zh-CN"/>
        </w:rPr>
      </w:pPr>
      <w:bookmarkStart w:id="3" w:name="_Toc351203494"/>
      <w:r>
        <w:rPr>
          <w:rFonts w:hint="eastAsia" w:ascii="宋体" w:hAnsi="宋体" w:eastAsia="宋体" w:cs="宋体"/>
          <w:b/>
          <w:bCs/>
          <w:color w:val="auto"/>
          <w:sz w:val="24"/>
          <w:szCs w:val="24"/>
          <w:highlight w:val="none"/>
          <w:lang w:val="zh-CN"/>
        </w:rPr>
        <w:t>甲方：（采购人）</w:t>
      </w:r>
    </w:p>
    <w:p w14:paraId="43194E5E">
      <w:pPr>
        <w:autoSpaceDE w:val="0"/>
        <w:autoSpaceDN w:val="0"/>
        <w:adjustRightInd w:val="0"/>
        <w:snapToGrid w:val="0"/>
        <w:spacing w:line="720" w:lineRule="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乙方：（</w:t>
      </w:r>
      <w:r>
        <w:rPr>
          <w:rFonts w:hint="eastAsia" w:ascii="宋体" w:hAnsi="宋体" w:eastAsia="宋体" w:cs="宋体"/>
          <w:b/>
          <w:bCs/>
          <w:color w:val="auto"/>
          <w:sz w:val="24"/>
          <w:szCs w:val="24"/>
          <w:highlight w:val="none"/>
          <w:lang w:val="en-US" w:eastAsia="zh-CN"/>
        </w:rPr>
        <w:t>中标</w:t>
      </w:r>
      <w:r>
        <w:rPr>
          <w:rFonts w:hint="eastAsia" w:ascii="宋体" w:hAnsi="宋体" w:eastAsia="宋体" w:cs="宋体"/>
          <w:b/>
          <w:bCs/>
          <w:color w:val="auto"/>
          <w:sz w:val="24"/>
          <w:szCs w:val="24"/>
          <w:highlight w:val="none"/>
          <w:lang w:val="zh-CN"/>
        </w:rPr>
        <w:t>单位）</w:t>
      </w:r>
    </w:p>
    <w:p w14:paraId="75D3B919">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依据《中华人民共和国民法典》和《中华人民共和国政府采购法》，经双方协商按下述条款和条件签署本合同。</w:t>
      </w:r>
    </w:p>
    <w:bookmarkEnd w:id="3"/>
    <w:tbl>
      <w:tblPr>
        <w:tblStyle w:val="4"/>
        <w:tblpPr w:leftFromText="180" w:rightFromText="180" w:vertAnchor="text" w:horzAnchor="page" w:tblpXSpec="center" w:tblpY="455"/>
        <w:tblOverlap w:val="never"/>
        <w:tblW w:w="8336" w:type="dxa"/>
        <w:jc w:val="center"/>
        <w:tblLayout w:type="fixed"/>
        <w:tblCellMar>
          <w:top w:w="0" w:type="dxa"/>
          <w:left w:w="108" w:type="dxa"/>
          <w:bottom w:w="0" w:type="dxa"/>
          <w:right w:w="108" w:type="dxa"/>
        </w:tblCellMar>
      </w:tblPr>
      <w:tblGrid>
        <w:gridCol w:w="1001"/>
        <w:gridCol w:w="1627"/>
        <w:gridCol w:w="1052"/>
        <w:gridCol w:w="903"/>
        <w:gridCol w:w="903"/>
        <w:gridCol w:w="904"/>
        <w:gridCol w:w="897"/>
        <w:gridCol w:w="1049"/>
      </w:tblGrid>
      <w:tr w14:paraId="3AE9F79F">
        <w:tblPrEx>
          <w:tblCellMar>
            <w:top w:w="0" w:type="dxa"/>
            <w:left w:w="108" w:type="dxa"/>
            <w:bottom w:w="0" w:type="dxa"/>
            <w:right w:w="108" w:type="dxa"/>
          </w:tblCellMar>
        </w:tblPrEx>
        <w:trPr>
          <w:trHeight w:val="632" w:hRule="atLeast"/>
          <w:jc w:val="center"/>
        </w:trPr>
        <w:tc>
          <w:tcPr>
            <w:tcW w:w="1001" w:type="dxa"/>
            <w:tcBorders>
              <w:top w:val="single" w:color="auto" w:sz="4" w:space="0"/>
              <w:left w:val="single" w:color="auto" w:sz="4" w:space="0"/>
              <w:bottom w:val="single" w:color="auto" w:sz="4" w:space="0"/>
              <w:right w:val="single" w:color="auto" w:sz="4" w:space="0"/>
            </w:tcBorders>
            <w:noWrap w:val="0"/>
            <w:vAlign w:val="center"/>
          </w:tcPr>
          <w:p w14:paraId="4FF6A9CE">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627" w:type="dxa"/>
            <w:tcBorders>
              <w:top w:val="single" w:color="auto" w:sz="4" w:space="0"/>
              <w:left w:val="nil"/>
              <w:bottom w:val="single" w:color="auto" w:sz="4" w:space="0"/>
              <w:right w:val="single" w:color="auto" w:sz="4" w:space="0"/>
            </w:tcBorders>
            <w:noWrap w:val="0"/>
            <w:vAlign w:val="center"/>
          </w:tcPr>
          <w:p w14:paraId="0F053443">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货物</w:t>
            </w:r>
            <w:r>
              <w:rPr>
                <w:rFonts w:hint="eastAsia" w:ascii="宋体" w:hAnsi="宋体" w:eastAsia="宋体" w:cs="宋体"/>
                <w:b/>
                <w:bCs/>
                <w:color w:val="auto"/>
                <w:sz w:val="24"/>
                <w:szCs w:val="24"/>
              </w:rPr>
              <w:t>名称</w:t>
            </w:r>
          </w:p>
        </w:tc>
        <w:tc>
          <w:tcPr>
            <w:tcW w:w="1052" w:type="dxa"/>
            <w:tcBorders>
              <w:top w:val="single" w:color="auto" w:sz="4" w:space="0"/>
              <w:left w:val="nil"/>
              <w:bottom w:val="single" w:color="auto" w:sz="4" w:space="0"/>
              <w:right w:val="single" w:color="auto" w:sz="4" w:space="0"/>
            </w:tcBorders>
            <w:noWrap w:val="0"/>
            <w:vAlign w:val="center"/>
          </w:tcPr>
          <w:p w14:paraId="7EE587D9">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型号</w:t>
            </w:r>
          </w:p>
        </w:tc>
        <w:tc>
          <w:tcPr>
            <w:tcW w:w="903" w:type="dxa"/>
            <w:tcBorders>
              <w:top w:val="single" w:color="auto" w:sz="4" w:space="0"/>
              <w:left w:val="nil"/>
              <w:bottom w:val="single" w:color="auto" w:sz="4" w:space="0"/>
              <w:right w:val="single" w:color="auto" w:sz="4" w:space="0"/>
            </w:tcBorders>
            <w:noWrap w:val="0"/>
            <w:vAlign w:val="center"/>
          </w:tcPr>
          <w:p w14:paraId="721A1EDF">
            <w:pPr>
              <w:snapToGrid w:val="0"/>
              <w:spacing w:after="0" w:line="360" w:lineRule="auto"/>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厂家</w:t>
            </w:r>
          </w:p>
        </w:tc>
        <w:tc>
          <w:tcPr>
            <w:tcW w:w="903" w:type="dxa"/>
            <w:tcBorders>
              <w:top w:val="single" w:color="auto" w:sz="4" w:space="0"/>
              <w:left w:val="nil"/>
              <w:bottom w:val="single" w:color="auto" w:sz="4" w:space="0"/>
              <w:right w:val="single" w:color="auto" w:sz="4" w:space="0"/>
            </w:tcBorders>
            <w:noWrap w:val="0"/>
            <w:vAlign w:val="center"/>
          </w:tcPr>
          <w:p w14:paraId="16ADACCD">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904" w:type="dxa"/>
            <w:tcBorders>
              <w:top w:val="single" w:color="auto" w:sz="4" w:space="0"/>
              <w:left w:val="nil"/>
              <w:bottom w:val="single" w:color="auto" w:sz="4" w:space="0"/>
              <w:right w:val="single" w:color="auto" w:sz="4" w:space="0"/>
            </w:tcBorders>
            <w:noWrap w:val="0"/>
            <w:vAlign w:val="center"/>
          </w:tcPr>
          <w:p w14:paraId="51118BD0">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单价</w:t>
            </w:r>
          </w:p>
        </w:tc>
        <w:tc>
          <w:tcPr>
            <w:tcW w:w="897" w:type="dxa"/>
            <w:tcBorders>
              <w:top w:val="single" w:color="auto" w:sz="4" w:space="0"/>
              <w:left w:val="nil"/>
              <w:bottom w:val="single" w:color="auto" w:sz="4" w:space="0"/>
              <w:right w:val="single" w:color="auto" w:sz="4" w:space="0"/>
            </w:tcBorders>
            <w:noWrap w:val="0"/>
            <w:vAlign w:val="center"/>
          </w:tcPr>
          <w:p w14:paraId="19E5B2D8">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总价</w:t>
            </w:r>
          </w:p>
        </w:tc>
        <w:tc>
          <w:tcPr>
            <w:tcW w:w="1049" w:type="dxa"/>
            <w:tcBorders>
              <w:top w:val="single" w:color="auto" w:sz="4" w:space="0"/>
              <w:left w:val="nil"/>
              <w:bottom w:val="single" w:color="auto" w:sz="4" w:space="0"/>
              <w:right w:val="single" w:color="auto" w:sz="4" w:space="0"/>
            </w:tcBorders>
            <w:noWrap w:val="0"/>
            <w:vAlign w:val="center"/>
          </w:tcPr>
          <w:p w14:paraId="4921D86A">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tc>
      </w:tr>
      <w:tr w14:paraId="3FF8CDA8">
        <w:tblPrEx>
          <w:tblCellMar>
            <w:top w:w="0" w:type="dxa"/>
            <w:left w:w="108" w:type="dxa"/>
            <w:bottom w:w="0" w:type="dxa"/>
            <w:right w:w="108" w:type="dxa"/>
          </w:tblCellMar>
        </w:tblPrEx>
        <w:trPr>
          <w:trHeight w:val="632" w:hRule="atLeast"/>
          <w:jc w:val="center"/>
        </w:trPr>
        <w:tc>
          <w:tcPr>
            <w:tcW w:w="1001" w:type="dxa"/>
            <w:tcBorders>
              <w:top w:val="single" w:color="auto" w:sz="4" w:space="0"/>
              <w:left w:val="single" w:color="auto" w:sz="4" w:space="0"/>
              <w:bottom w:val="single" w:color="auto" w:sz="4" w:space="0"/>
              <w:right w:val="single" w:color="auto" w:sz="4" w:space="0"/>
            </w:tcBorders>
            <w:noWrap w:val="0"/>
            <w:vAlign w:val="center"/>
          </w:tcPr>
          <w:p w14:paraId="620A8B09">
            <w:pPr>
              <w:snapToGrid w:val="0"/>
              <w:spacing w:after="0" w:line="360" w:lineRule="auto"/>
              <w:jc w:val="center"/>
              <w:rPr>
                <w:rFonts w:hint="eastAsia" w:ascii="宋体" w:hAnsi="宋体" w:eastAsia="宋体" w:cs="宋体"/>
                <w:color w:val="auto"/>
                <w:sz w:val="24"/>
                <w:szCs w:val="24"/>
              </w:rPr>
            </w:pPr>
          </w:p>
        </w:tc>
        <w:tc>
          <w:tcPr>
            <w:tcW w:w="1627" w:type="dxa"/>
            <w:tcBorders>
              <w:top w:val="single" w:color="auto" w:sz="4" w:space="0"/>
              <w:left w:val="nil"/>
              <w:bottom w:val="single" w:color="auto" w:sz="4" w:space="0"/>
              <w:right w:val="single" w:color="auto" w:sz="4" w:space="0"/>
            </w:tcBorders>
            <w:noWrap w:val="0"/>
            <w:vAlign w:val="center"/>
          </w:tcPr>
          <w:p w14:paraId="11F19ED8">
            <w:pPr>
              <w:snapToGrid w:val="0"/>
              <w:spacing w:after="0" w:line="360" w:lineRule="auto"/>
              <w:ind w:firstLine="645"/>
              <w:jc w:val="left"/>
              <w:rPr>
                <w:rFonts w:hint="eastAsia" w:ascii="宋体" w:hAnsi="宋体" w:eastAsia="宋体" w:cs="宋体"/>
                <w:color w:val="auto"/>
                <w:sz w:val="24"/>
                <w:szCs w:val="24"/>
              </w:rPr>
            </w:pPr>
          </w:p>
        </w:tc>
        <w:tc>
          <w:tcPr>
            <w:tcW w:w="1052" w:type="dxa"/>
            <w:tcBorders>
              <w:top w:val="single" w:color="auto" w:sz="4" w:space="0"/>
              <w:left w:val="nil"/>
              <w:bottom w:val="single" w:color="auto" w:sz="4" w:space="0"/>
              <w:right w:val="single" w:color="auto" w:sz="4" w:space="0"/>
            </w:tcBorders>
            <w:noWrap w:val="0"/>
            <w:vAlign w:val="center"/>
          </w:tcPr>
          <w:p w14:paraId="0836DA83">
            <w:pPr>
              <w:snapToGrid w:val="0"/>
              <w:spacing w:after="0" w:line="360" w:lineRule="auto"/>
              <w:ind w:firstLine="645"/>
              <w:jc w:val="left"/>
              <w:rPr>
                <w:rFonts w:hint="eastAsia" w:ascii="宋体" w:hAnsi="宋体" w:eastAsia="宋体" w:cs="宋体"/>
                <w:color w:val="auto"/>
                <w:sz w:val="24"/>
                <w:szCs w:val="24"/>
              </w:rPr>
            </w:pPr>
          </w:p>
        </w:tc>
        <w:tc>
          <w:tcPr>
            <w:tcW w:w="903" w:type="dxa"/>
            <w:tcBorders>
              <w:top w:val="single" w:color="auto" w:sz="4" w:space="0"/>
              <w:left w:val="nil"/>
              <w:bottom w:val="single" w:color="auto" w:sz="4" w:space="0"/>
              <w:right w:val="single" w:color="auto" w:sz="4" w:space="0"/>
            </w:tcBorders>
            <w:noWrap w:val="0"/>
            <w:vAlign w:val="center"/>
          </w:tcPr>
          <w:p w14:paraId="1684BB9A">
            <w:pPr>
              <w:snapToGrid w:val="0"/>
              <w:spacing w:after="0" w:line="360" w:lineRule="auto"/>
              <w:ind w:firstLine="645"/>
              <w:jc w:val="left"/>
              <w:rPr>
                <w:rFonts w:hint="eastAsia" w:ascii="宋体" w:hAnsi="宋体" w:eastAsia="宋体" w:cs="宋体"/>
                <w:color w:val="auto"/>
                <w:sz w:val="24"/>
                <w:szCs w:val="24"/>
              </w:rPr>
            </w:pPr>
          </w:p>
        </w:tc>
        <w:tc>
          <w:tcPr>
            <w:tcW w:w="903" w:type="dxa"/>
            <w:tcBorders>
              <w:top w:val="single" w:color="auto" w:sz="4" w:space="0"/>
              <w:left w:val="nil"/>
              <w:bottom w:val="single" w:color="auto" w:sz="4" w:space="0"/>
              <w:right w:val="single" w:color="auto" w:sz="4" w:space="0"/>
            </w:tcBorders>
            <w:noWrap w:val="0"/>
            <w:vAlign w:val="center"/>
          </w:tcPr>
          <w:p w14:paraId="60CD246D">
            <w:pPr>
              <w:snapToGrid w:val="0"/>
              <w:spacing w:after="0" w:line="360" w:lineRule="auto"/>
              <w:ind w:firstLine="645"/>
              <w:jc w:val="left"/>
              <w:rPr>
                <w:rFonts w:hint="eastAsia" w:ascii="宋体" w:hAnsi="宋体" w:eastAsia="宋体" w:cs="宋体"/>
                <w:color w:val="auto"/>
                <w:sz w:val="24"/>
                <w:szCs w:val="24"/>
              </w:rPr>
            </w:pPr>
          </w:p>
        </w:tc>
        <w:tc>
          <w:tcPr>
            <w:tcW w:w="904" w:type="dxa"/>
            <w:tcBorders>
              <w:top w:val="single" w:color="auto" w:sz="4" w:space="0"/>
              <w:left w:val="nil"/>
              <w:bottom w:val="single" w:color="auto" w:sz="4" w:space="0"/>
              <w:right w:val="single" w:color="auto" w:sz="4" w:space="0"/>
            </w:tcBorders>
            <w:noWrap w:val="0"/>
            <w:vAlign w:val="center"/>
          </w:tcPr>
          <w:p w14:paraId="6D3FCD84">
            <w:pPr>
              <w:snapToGrid w:val="0"/>
              <w:spacing w:after="0" w:line="360" w:lineRule="auto"/>
              <w:ind w:firstLine="645"/>
              <w:jc w:val="left"/>
              <w:rPr>
                <w:rFonts w:hint="eastAsia" w:ascii="宋体" w:hAnsi="宋体" w:eastAsia="宋体" w:cs="宋体"/>
                <w:color w:val="auto"/>
                <w:sz w:val="24"/>
                <w:szCs w:val="24"/>
              </w:rPr>
            </w:pPr>
          </w:p>
        </w:tc>
        <w:tc>
          <w:tcPr>
            <w:tcW w:w="897" w:type="dxa"/>
            <w:tcBorders>
              <w:top w:val="single" w:color="auto" w:sz="4" w:space="0"/>
              <w:left w:val="nil"/>
              <w:bottom w:val="single" w:color="auto" w:sz="4" w:space="0"/>
              <w:right w:val="single" w:color="auto" w:sz="4" w:space="0"/>
            </w:tcBorders>
            <w:noWrap w:val="0"/>
            <w:vAlign w:val="center"/>
          </w:tcPr>
          <w:p w14:paraId="30A9F26C">
            <w:pPr>
              <w:snapToGrid w:val="0"/>
              <w:spacing w:after="0" w:line="360" w:lineRule="auto"/>
              <w:ind w:firstLine="645"/>
              <w:jc w:val="left"/>
              <w:rPr>
                <w:rFonts w:hint="eastAsia" w:ascii="宋体" w:hAnsi="宋体" w:eastAsia="宋体" w:cs="宋体"/>
                <w:color w:val="auto"/>
                <w:sz w:val="24"/>
                <w:szCs w:val="24"/>
              </w:rPr>
            </w:pPr>
          </w:p>
        </w:tc>
        <w:tc>
          <w:tcPr>
            <w:tcW w:w="1049" w:type="dxa"/>
            <w:tcBorders>
              <w:top w:val="single" w:color="auto" w:sz="4" w:space="0"/>
              <w:left w:val="nil"/>
              <w:bottom w:val="single" w:color="auto" w:sz="4" w:space="0"/>
              <w:right w:val="single" w:color="auto" w:sz="4" w:space="0"/>
            </w:tcBorders>
            <w:noWrap w:val="0"/>
            <w:vAlign w:val="center"/>
          </w:tcPr>
          <w:p w14:paraId="6C2EB5EB">
            <w:pPr>
              <w:snapToGrid w:val="0"/>
              <w:spacing w:after="0" w:line="360" w:lineRule="auto"/>
              <w:ind w:firstLine="645"/>
              <w:jc w:val="left"/>
              <w:rPr>
                <w:rFonts w:hint="eastAsia" w:ascii="宋体" w:hAnsi="宋体" w:eastAsia="宋体" w:cs="宋体"/>
                <w:color w:val="auto"/>
                <w:sz w:val="24"/>
                <w:szCs w:val="24"/>
              </w:rPr>
            </w:pPr>
          </w:p>
        </w:tc>
      </w:tr>
      <w:tr w14:paraId="13B7D613">
        <w:tblPrEx>
          <w:tblCellMar>
            <w:top w:w="0" w:type="dxa"/>
            <w:left w:w="108" w:type="dxa"/>
            <w:bottom w:w="0" w:type="dxa"/>
            <w:right w:w="108" w:type="dxa"/>
          </w:tblCellMar>
        </w:tblPrEx>
        <w:trPr>
          <w:trHeight w:val="632" w:hRule="atLeast"/>
          <w:jc w:val="center"/>
        </w:trPr>
        <w:tc>
          <w:tcPr>
            <w:tcW w:w="1001" w:type="dxa"/>
            <w:tcBorders>
              <w:top w:val="single" w:color="auto" w:sz="4" w:space="0"/>
              <w:left w:val="single" w:color="auto" w:sz="4" w:space="0"/>
              <w:bottom w:val="single" w:color="auto" w:sz="4" w:space="0"/>
              <w:right w:val="single" w:color="auto" w:sz="4" w:space="0"/>
            </w:tcBorders>
            <w:noWrap w:val="0"/>
            <w:vAlign w:val="center"/>
          </w:tcPr>
          <w:p w14:paraId="6DCFCFAE">
            <w:pPr>
              <w:snapToGrid w:val="0"/>
              <w:spacing w:after="0" w:line="360" w:lineRule="auto"/>
              <w:ind w:firstLine="645"/>
              <w:rPr>
                <w:rFonts w:hint="eastAsia" w:ascii="宋体" w:hAnsi="宋体" w:eastAsia="宋体" w:cs="宋体"/>
                <w:color w:val="auto"/>
                <w:sz w:val="24"/>
                <w:szCs w:val="24"/>
              </w:rPr>
            </w:pPr>
          </w:p>
        </w:tc>
        <w:tc>
          <w:tcPr>
            <w:tcW w:w="1627" w:type="dxa"/>
            <w:tcBorders>
              <w:top w:val="single" w:color="auto" w:sz="4" w:space="0"/>
              <w:left w:val="nil"/>
              <w:bottom w:val="single" w:color="auto" w:sz="4" w:space="0"/>
              <w:right w:val="single" w:color="auto" w:sz="4" w:space="0"/>
            </w:tcBorders>
            <w:noWrap w:val="0"/>
            <w:vAlign w:val="center"/>
          </w:tcPr>
          <w:p w14:paraId="2DA86053">
            <w:pPr>
              <w:snapToGrid w:val="0"/>
              <w:spacing w:after="0" w:line="360" w:lineRule="auto"/>
              <w:ind w:firstLine="645"/>
              <w:rPr>
                <w:rFonts w:hint="eastAsia" w:ascii="宋体" w:hAnsi="宋体" w:eastAsia="宋体" w:cs="宋体"/>
                <w:color w:val="auto"/>
                <w:sz w:val="24"/>
                <w:szCs w:val="24"/>
              </w:rPr>
            </w:pPr>
          </w:p>
        </w:tc>
        <w:tc>
          <w:tcPr>
            <w:tcW w:w="1052" w:type="dxa"/>
            <w:tcBorders>
              <w:top w:val="single" w:color="auto" w:sz="4" w:space="0"/>
              <w:left w:val="nil"/>
              <w:bottom w:val="single" w:color="auto" w:sz="4" w:space="0"/>
              <w:right w:val="single" w:color="auto" w:sz="4" w:space="0"/>
            </w:tcBorders>
            <w:noWrap w:val="0"/>
            <w:vAlign w:val="center"/>
          </w:tcPr>
          <w:p w14:paraId="42EB1A51">
            <w:pPr>
              <w:snapToGrid w:val="0"/>
              <w:spacing w:after="0" w:line="360" w:lineRule="auto"/>
              <w:ind w:firstLine="645"/>
              <w:rPr>
                <w:rFonts w:hint="eastAsia" w:ascii="宋体" w:hAnsi="宋体" w:eastAsia="宋体" w:cs="宋体"/>
                <w:color w:val="auto"/>
                <w:sz w:val="24"/>
                <w:szCs w:val="24"/>
              </w:rPr>
            </w:pPr>
          </w:p>
        </w:tc>
        <w:tc>
          <w:tcPr>
            <w:tcW w:w="903" w:type="dxa"/>
            <w:tcBorders>
              <w:top w:val="single" w:color="auto" w:sz="4" w:space="0"/>
              <w:left w:val="nil"/>
              <w:bottom w:val="single" w:color="auto" w:sz="4" w:space="0"/>
              <w:right w:val="single" w:color="auto" w:sz="4" w:space="0"/>
            </w:tcBorders>
            <w:noWrap w:val="0"/>
            <w:vAlign w:val="center"/>
          </w:tcPr>
          <w:p w14:paraId="3CB94922">
            <w:pPr>
              <w:snapToGrid w:val="0"/>
              <w:spacing w:after="0" w:line="360" w:lineRule="auto"/>
              <w:ind w:firstLine="645"/>
              <w:rPr>
                <w:rFonts w:hint="eastAsia" w:ascii="宋体" w:hAnsi="宋体" w:eastAsia="宋体" w:cs="宋体"/>
                <w:color w:val="auto"/>
                <w:sz w:val="24"/>
                <w:szCs w:val="24"/>
              </w:rPr>
            </w:pPr>
          </w:p>
        </w:tc>
        <w:tc>
          <w:tcPr>
            <w:tcW w:w="903" w:type="dxa"/>
            <w:tcBorders>
              <w:top w:val="single" w:color="auto" w:sz="4" w:space="0"/>
              <w:left w:val="nil"/>
              <w:bottom w:val="single" w:color="auto" w:sz="4" w:space="0"/>
              <w:right w:val="single" w:color="auto" w:sz="4" w:space="0"/>
            </w:tcBorders>
            <w:noWrap w:val="0"/>
            <w:vAlign w:val="center"/>
          </w:tcPr>
          <w:p w14:paraId="6991F5EE">
            <w:pPr>
              <w:snapToGrid w:val="0"/>
              <w:spacing w:after="0" w:line="360" w:lineRule="auto"/>
              <w:ind w:firstLine="645"/>
              <w:rPr>
                <w:rFonts w:hint="eastAsia" w:ascii="宋体" w:hAnsi="宋体" w:eastAsia="宋体" w:cs="宋体"/>
                <w:color w:val="auto"/>
                <w:sz w:val="24"/>
                <w:szCs w:val="24"/>
              </w:rPr>
            </w:pPr>
          </w:p>
        </w:tc>
        <w:tc>
          <w:tcPr>
            <w:tcW w:w="904" w:type="dxa"/>
            <w:tcBorders>
              <w:top w:val="single" w:color="auto" w:sz="4" w:space="0"/>
              <w:left w:val="nil"/>
              <w:bottom w:val="single" w:color="auto" w:sz="4" w:space="0"/>
              <w:right w:val="single" w:color="auto" w:sz="4" w:space="0"/>
            </w:tcBorders>
            <w:noWrap w:val="0"/>
            <w:vAlign w:val="center"/>
          </w:tcPr>
          <w:p w14:paraId="333583EB">
            <w:pPr>
              <w:snapToGrid w:val="0"/>
              <w:spacing w:after="0" w:line="360" w:lineRule="auto"/>
              <w:ind w:firstLine="645"/>
              <w:rPr>
                <w:rFonts w:hint="eastAsia" w:ascii="宋体" w:hAnsi="宋体" w:eastAsia="宋体" w:cs="宋体"/>
                <w:color w:val="auto"/>
                <w:sz w:val="24"/>
                <w:szCs w:val="24"/>
              </w:rPr>
            </w:pPr>
          </w:p>
        </w:tc>
        <w:tc>
          <w:tcPr>
            <w:tcW w:w="897" w:type="dxa"/>
            <w:tcBorders>
              <w:top w:val="single" w:color="auto" w:sz="4" w:space="0"/>
              <w:left w:val="nil"/>
              <w:bottom w:val="single" w:color="auto" w:sz="4" w:space="0"/>
              <w:right w:val="single" w:color="auto" w:sz="4" w:space="0"/>
            </w:tcBorders>
            <w:noWrap w:val="0"/>
            <w:vAlign w:val="center"/>
          </w:tcPr>
          <w:p w14:paraId="6DF9F833">
            <w:pPr>
              <w:snapToGrid w:val="0"/>
              <w:spacing w:after="0" w:line="360" w:lineRule="auto"/>
              <w:ind w:firstLine="645"/>
              <w:rPr>
                <w:rFonts w:hint="eastAsia" w:ascii="宋体" w:hAnsi="宋体" w:eastAsia="宋体" w:cs="宋体"/>
                <w:color w:val="auto"/>
                <w:sz w:val="24"/>
                <w:szCs w:val="24"/>
              </w:rPr>
            </w:pPr>
          </w:p>
        </w:tc>
        <w:tc>
          <w:tcPr>
            <w:tcW w:w="1049" w:type="dxa"/>
            <w:tcBorders>
              <w:top w:val="single" w:color="auto" w:sz="4" w:space="0"/>
              <w:left w:val="nil"/>
              <w:bottom w:val="single" w:color="auto" w:sz="4" w:space="0"/>
              <w:right w:val="single" w:color="auto" w:sz="4" w:space="0"/>
            </w:tcBorders>
            <w:noWrap w:val="0"/>
            <w:vAlign w:val="center"/>
          </w:tcPr>
          <w:p w14:paraId="00A8F1D1">
            <w:pPr>
              <w:snapToGrid w:val="0"/>
              <w:spacing w:after="0" w:line="360" w:lineRule="auto"/>
              <w:ind w:firstLine="645"/>
              <w:rPr>
                <w:rFonts w:hint="eastAsia" w:ascii="宋体" w:hAnsi="宋体" w:eastAsia="宋体" w:cs="宋体"/>
                <w:color w:val="auto"/>
                <w:sz w:val="24"/>
                <w:szCs w:val="24"/>
              </w:rPr>
            </w:pPr>
          </w:p>
        </w:tc>
      </w:tr>
      <w:tr w14:paraId="6E427EBB">
        <w:tblPrEx>
          <w:tblCellMar>
            <w:top w:w="0" w:type="dxa"/>
            <w:left w:w="108" w:type="dxa"/>
            <w:bottom w:w="0" w:type="dxa"/>
            <w:right w:w="108" w:type="dxa"/>
          </w:tblCellMar>
        </w:tblPrEx>
        <w:trPr>
          <w:trHeight w:val="661" w:hRule="atLeast"/>
          <w:jc w:val="center"/>
        </w:trPr>
        <w:tc>
          <w:tcPr>
            <w:tcW w:w="2628" w:type="dxa"/>
            <w:gridSpan w:val="2"/>
            <w:tcBorders>
              <w:top w:val="single" w:color="auto" w:sz="4" w:space="0"/>
              <w:left w:val="single" w:color="auto" w:sz="4" w:space="0"/>
              <w:bottom w:val="single" w:color="auto" w:sz="4" w:space="0"/>
              <w:right w:val="single" w:color="auto" w:sz="4" w:space="0"/>
            </w:tcBorders>
            <w:noWrap w:val="0"/>
            <w:vAlign w:val="center"/>
          </w:tcPr>
          <w:p w14:paraId="1E7EAC9F">
            <w:pPr>
              <w:snapToGrid w:val="0"/>
              <w:spacing w:after="0"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总计（人民币/元）</w:t>
            </w:r>
          </w:p>
        </w:tc>
        <w:tc>
          <w:tcPr>
            <w:tcW w:w="5708" w:type="dxa"/>
            <w:gridSpan w:val="6"/>
            <w:tcBorders>
              <w:top w:val="single" w:color="auto" w:sz="4" w:space="0"/>
              <w:left w:val="nil"/>
              <w:bottom w:val="single" w:color="auto" w:sz="4" w:space="0"/>
              <w:right w:val="single" w:color="auto" w:sz="4" w:space="0"/>
            </w:tcBorders>
            <w:noWrap w:val="0"/>
            <w:vAlign w:val="center"/>
          </w:tcPr>
          <w:p w14:paraId="15743F73">
            <w:pPr>
              <w:snapToGrid w:val="0"/>
              <w:spacing w:after="0"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rPr>
              <w:t>￥：       （大写）</w:t>
            </w:r>
          </w:p>
        </w:tc>
      </w:tr>
    </w:tbl>
    <w:p w14:paraId="23D7008C">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b/>
          <w:bCs/>
          <w:color w:val="auto"/>
          <w:sz w:val="24"/>
          <w:szCs w:val="24"/>
        </w:rPr>
        <w:t>合同内容</w:t>
      </w:r>
    </w:p>
    <w:p w14:paraId="04A8347B">
      <w:pPr>
        <w:keepNext w:val="0"/>
        <w:keepLines w:val="0"/>
        <w:pageBreakBefore w:val="0"/>
        <w:widowControl w:val="0"/>
        <w:kinsoku/>
        <w:wordWrap/>
        <w:overflowPunct/>
        <w:topLinePunct w:val="0"/>
        <w:autoSpaceDE/>
        <w:autoSpaceDN/>
        <w:bidi w:val="0"/>
        <w:snapToGrid w:val="0"/>
        <w:spacing w:line="440" w:lineRule="exact"/>
        <w:ind w:firstLine="64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（参数附件说明）</w:t>
      </w:r>
    </w:p>
    <w:p w14:paraId="7F5310B5">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负责按以上确定的产品规格、型号及配套内容进行供货，及时运到甲方指定交货地点安装调试，确保所有产品达到最佳运行状态，负责对甲方操作、维护人员进行培训，指导操作、使用和维修保养，做好售后服务工作。</w:t>
      </w:r>
    </w:p>
    <w:p w14:paraId="1CC6D64B">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w:t>
      </w:r>
    </w:p>
    <w:p w14:paraId="3FECB882">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合同总价：人民币大写：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rPr>
        <w:t>元整；</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元。</w:t>
      </w:r>
    </w:p>
    <w:p w14:paraId="7FC98A50">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合同总价包括：产品供应费、产品的包装、运输、装卸、安装、保险、验</w:t>
      </w:r>
      <w:r>
        <w:rPr>
          <w:rFonts w:hint="eastAsia" w:ascii="宋体" w:hAnsi="宋体" w:eastAsia="宋体" w:cs="宋体"/>
          <w:color w:val="auto"/>
          <w:sz w:val="24"/>
          <w:szCs w:val="24"/>
          <w:highlight w:val="none"/>
        </w:rPr>
        <w:t>收、</w:t>
      </w:r>
      <w:r>
        <w:rPr>
          <w:rFonts w:hint="eastAsia" w:ascii="宋体" w:hAnsi="宋体" w:eastAsia="宋体" w:cs="宋体"/>
          <w:color w:val="auto"/>
          <w:sz w:val="24"/>
          <w:szCs w:val="24"/>
          <w:highlight w:val="none"/>
          <w:lang w:val="en-US" w:eastAsia="zh-CN"/>
        </w:rPr>
        <w:t>培训、质保及售后服务、</w:t>
      </w:r>
      <w:r>
        <w:rPr>
          <w:rFonts w:hint="eastAsia" w:ascii="宋体" w:hAnsi="宋体" w:eastAsia="宋体" w:cs="宋体"/>
          <w:color w:val="auto"/>
          <w:sz w:val="24"/>
          <w:szCs w:val="24"/>
        </w:rPr>
        <w:t>税金及合同包含的所有风险与责任、政策性文件规定的各项应有的一切费用及其它相关的费用。合同总价不可变更，不受市场价格波动及实际履约数量变化的影响。</w:t>
      </w:r>
    </w:p>
    <w:p w14:paraId="7206FAD9">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rPr>
        <w:t>三</w:t>
      </w:r>
      <w:r>
        <w:rPr>
          <w:rFonts w:hint="eastAsia" w:ascii="宋体" w:hAnsi="宋体" w:eastAsia="宋体" w:cs="宋体"/>
          <w:b/>
          <w:bCs/>
          <w:color w:val="auto"/>
          <w:sz w:val="24"/>
          <w:szCs w:val="24"/>
          <w:highlight w:val="none"/>
        </w:rPr>
        <w:t>、付款方式</w:t>
      </w:r>
    </w:p>
    <w:p w14:paraId="0E7EDAFA">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u w:val="single"/>
          <w:lang w:val="en-US" w:eastAsia="zh-CN"/>
        </w:rPr>
        <w:t xml:space="preserve">                                                                     </w:t>
      </w:r>
    </w:p>
    <w:p w14:paraId="76514E24">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四、交货条件</w:t>
      </w:r>
    </w:p>
    <w:p w14:paraId="6D760C74">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1、交货地点：</w:t>
      </w:r>
      <w:r>
        <w:rPr>
          <w:rFonts w:hint="eastAsia" w:ascii="宋体" w:hAnsi="宋体" w:eastAsia="宋体" w:cs="宋体"/>
          <w:color w:val="auto"/>
          <w:sz w:val="24"/>
          <w:szCs w:val="24"/>
          <w:highlight w:val="none"/>
          <w:u w:val="single"/>
          <w:lang w:val="en-US" w:eastAsia="zh-CN"/>
        </w:rPr>
        <w:t xml:space="preserve"> 勉县骨伤科医院 </w:t>
      </w:r>
    </w:p>
    <w:p w14:paraId="31606BE7">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交货</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16F9F867">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3.交付条件</w:t>
      </w:r>
    </w:p>
    <w:p w14:paraId="62F20E49">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）乙方提供货物必须是原厂制造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符合招投标文件约定的产品</w:t>
      </w:r>
      <w:r>
        <w:rPr>
          <w:rFonts w:hint="eastAsia" w:ascii="宋体" w:hAnsi="宋体" w:eastAsia="宋体" w:cs="宋体"/>
          <w:color w:val="auto"/>
          <w:sz w:val="24"/>
          <w:szCs w:val="24"/>
          <w:highlight w:val="none"/>
        </w:rPr>
        <w:t>。</w:t>
      </w:r>
    </w:p>
    <w:p w14:paraId="00753585">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）所供货物必须是经过办理正常手续的全新产品。</w:t>
      </w:r>
    </w:p>
    <w:p w14:paraId="3CDC32E1">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）所供货物是经过国家法定检验、注册、准许市场销售的合法产品，具有有效的中华人民共和国医疗器械注册证及相关资质文件。</w:t>
      </w:r>
    </w:p>
    <w:p w14:paraId="1468FD46">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）货物性能稳定、具有较好的使用效果，质量保证措施完善，符合国家相关标准。</w:t>
      </w:r>
    </w:p>
    <w:p w14:paraId="7191CDCE">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）货物的质保期严格按</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文件规定的质保期执行，</w:t>
      </w:r>
      <w:r>
        <w:rPr>
          <w:rFonts w:hint="eastAsia" w:ascii="宋体" w:hAnsi="宋体" w:eastAsia="宋体" w:cs="宋体"/>
          <w:color w:val="auto"/>
          <w:sz w:val="24"/>
          <w:szCs w:val="24"/>
          <w:highlight w:val="none"/>
          <w:lang w:val="en-US" w:eastAsia="zh-CN"/>
        </w:rPr>
        <w:t>质保期内产生的</w:t>
      </w:r>
      <w:r>
        <w:rPr>
          <w:rFonts w:hint="eastAsia" w:ascii="宋体" w:hAnsi="宋体" w:eastAsia="宋体" w:cs="宋体"/>
          <w:color w:val="auto"/>
          <w:sz w:val="24"/>
          <w:szCs w:val="24"/>
          <w:highlight w:val="none"/>
        </w:rPr>
        <w:t>质量问题由乙方负责</w:t>
      </w:r>
      <w:r>
        <w:rPr>
          <w:rFonts w:hint="eastAsia" w:ascii="宋体" w:hAnsi="宋体" w:eastAsia="宋体" w:cs="宋体"/>
          <w:color w:val="auto"/>
          <w:sz w:val="24"/>
          <w:szCs w:val="24"/>
          <w:highlight w:val="none"/>
          <w:lang w:val="en-US" w:eastAsia="zh-CN"/>
        </w:rPr>
        <w:t>维修、更换</w:t>
      </w:r>
      <w:r>
        <w:rPr>
          <w:rFonts w:hint="eastAsia" w:ascii="宋体" w:hAnsi="宋体" w:eastAsia="宋体" w:cs="宋体"/>
          <w:color w:val="auto"/>
          <w:sz w:val="24"/>
          <w:szCs w:val="24"/>
          <w:highlight w:val="none"/>
        </w:rPr>
        <w:t>。</w:t>
      </w:r>
    </w:p>
    <w:p w14:paraId="60A0916D">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）乙方应保证甲方在使用该货物或其任何一部分时免受第三方提出侵犯其</w:t>
      </w:r>
      <w:r>
        <w:rPr>
          <w:rFonts w:hint="eastAsia" w:ascii="宋体" w:hAnsi="宋体" w:eastAsia="宋体" w:cs="宋体"/>
          <w:color w:val="auto"/>
          <w:sz w:val="24"/>
          <w:szCs w:val="24"/>
          <w:highlight w:val="none"/>
          <w:lang w:val="en-US" w:eastAsia="zh-CN"/>
        </w:rPr>
        <w:t>各类知识产权包括专利权、著作权、商标权及其他知识产权</w:t>
      </w:r>
      <w:r>
        <w:rPr>
          <w:rFonts w:hint="eastAsia" w:ascii="宋体" w:hAnsi="宋体" w:eastAsia="宋体" w:cs="宋体"/>
          <w:color w:val="auto"/>
          <w:sz w:val="24"/>
          <w:szCs w:val="24"/>
          <w:highlight w:val="none"/>
        </w:rPr>
        <w:t>的起诉。</w:t>
      </w:r>
    </w:p>
    <w:p w14:paraId="1B692D6D">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（7）本设备为医用超声设备，操作系统为设备原厂内置系统，乙方保证为合法授权版本。</w:t>
      </w:r>
    </w:p>
    <w:p w14:paraId="5F016C2B">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五、运输方式</w:t>
      </w:r>
    </w:p>
    <w:p w14:paraId="6B5C7045">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根据产品特性，由乙方在保证产品质量的前提下，自行选择运输及包装方式。</w:t>
      </w:r>
    </w:p>
    <w:p w14:paraId="0DE4BD25">
      <w:pPr>
        <w:keepNext w:val="0"/>
        <w:keepLines w:val="0"/>
        <w:pageBreakBefore w:val="0"/>
        <w:widowControl w:val="0"/>
        <w:kinsoku/>
        <w:wordWrap/>
        <w:overflowPunct/>
        <w:topLinePunct w:val="0"/>
        <w:autoSpaceDE/>
        <w:autoSpaceDN/>
        <w:bidi w:val="0"/>
        <w:spacing w:line="440" w:lineRule="exact"/>
        <w:ind w:right="-256" w:rightChars="-8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、验收交付标准和方法</w:t>
      </w:r>
    </w:p>
    <w:p w14:paraId="60F81256">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lang w:eastAsia="zh-CN"/>
        </w:rPr>
        <w:t>一</w:t>
      </w:r>
      <w:r>
        <w:rPr>
          <w:rFonts w:ascii="宋体" w:hAnsi="宋体" w:eastAsia="宋体" w:cs="宋体"/>
          <w:sz w:val="24"/>
          <w:szCs w:val="24"/>
        </w:rPr>
        <w:t>）交付标准：</w:t>
      </w:r>
      <w:r>
        <w:rPr>
          <w:rFonts w:hint="eastAsia" w:ascii="宋体" w:hAnsi="宋体" w:eastAsia="宋体" w:cs="宋体"/>
          <w:sz w:val="24"/>
          <w:szCs w:val="24"/>
          <w:lang w:eastAsia="zh-CN"/>
        </w:rPr>
        <w:t>所有货物</w:t>
      </w:r>
      <w:bookmarkStart w:id="4" w:name="_GoBack"/>
      <w:bookmarkEnd w:id="4"/>
      <w:r>
        <w:rPr>
          <w:rFonts w:ascii="宋体" w:hAnsi="宋体" w:eastAsia="宋体" w:cs="宋体"/>
          <w:sz w:val="24"/>
          <w:szCs w:val="24"/>
        </w:rPr>
        <w:t>的规格型号、技术参数及质量标准，须完全符合采购文件、投标文件及本合同约定；货品完好无破损、原厂配套配件齐全完整，经安装调试合格后运行稳定可靠，全面满足采购人日常使用需求。</w:t>
      </w:r>
    </w:p>
    <w:p w14:paraId="0614CD06">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lang w:eastAsia="zh-CN"/>
        </w:rPr>
        <w:t>二</w:t>
      </w:r>
      <w:r>
        <w:rPr>
          <w:rFonts w:ascii="宋体" w:hAnsi="宋体" w:eastAsia="宋体" w:cs="宋体"/>
          <w:sz w:val="24"/>
          <w:szCs w:val="24"/>
        </w:rPr>
        <w:t>）验收方法：由采购人组织相关人员开展现场核查，对</w:t>
      </w:r>
      <w:r>
        <w:rPr>
          <w:rFonts w:hint="eastAsia" w:ascii="宋体" w:hAnsi="宋体" w:eastAsia="宋体" w:cs="宋体"/>
          <w:sz w:val="24"/>
          <w:szCs w:val="24"/>
          <w:lang w:eastAsia="zh-CN"/>
        </w:rPr>
        <w:t>设备</w:t>
      </w:r>
      <w:r>
        <w:rPr>
          <w:rFonts w:ascii="宋体" w:hAnsi="宋体" w:eastAsia="宋体" w:cs="宋体"/>
          <w:sz w:val="24"/>
          <w:szCs w:val="24"/>
        </w:rPr>
        <w:t>数量进行清点核对、对外观质量进行查验确认、对技术参数逐项比对核验；通过试运行对设备整体使用性能进行全面测试，全部符合约定标准及使用要求后，签署出具验收合格相关文件。</w:t>
      </w:r>
    </w:p>
    <w:p w14:paraId="6F99AB19">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、技术服务</w:t>
      </w:r>
    </w:p>
    <w:p w14:paraId="0C4CA003">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（一）对技术服务的要求：</w:t>
      </w:r>
    </w:p>
    <w:p w14:paraId="45FEA557">
      <w:pPr>
        <w:keepNext w:val="0"/>
        <w:keepLines w:val="0"/>
        <w:pageBreakBefore w:val="0"/>
        <w:widowControl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1.技术资料</w:t>
      </w:r>
    </w:p>
    <w:p w14:paraId="24255847">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（1）产品合格证及检验报告；</w:t>
      </w:r>
    </w:p>
    <w:p w14:paraId="6CE12B5C">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（2）产品使用说明书（中文）；</w:t>
      </w:r>
    </w:p>
    <w:p w14:paraId="0AB7F368">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）其它资料。</w:t>
      </w:r>
    </w:p>
    <w:p w14:paraId="73B7EB14">
      <w:pPr>
        <w:keepNext w:val="0"/>
        <w:keepLines w:val="0"/>
        <w:pageBreakBefore w:val="0"/>
        <w:widowControl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2.技术培训：免费为采购人培训设备操作及维护人员。</w:t>
      </w:r>
    </w:p>
    <w:p w14:paraId="22B30B68">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（1）培训内容：由采购人指定；</w:t>
      </w:r>
    </w:p>
    <w:p w14:paraId="05A7FDE1">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（2）培训地点：由采购人指定；</w:t>
      </w:r>
    </w:p>
    <w:p w14:paraId="664A4BB0">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default" w:ascii="宋体" w:hAnsi="宋体" w:eastAsia="宋体" w:cs="宋体"/>
          <w:color w:val="auto"/>
          <w:sz w:val="24"/>
          <w:szCs w:val="24"/>
          <w:lang w:val="en-US"/>
        </w:rPr>
      </w:pPr>
      <w:r>
        <w:rPr>
          <w:rFonts w:hint="eastAsia" w:ascii="宋体" w:hAnsi="宋体" w:eastAsia="宋体" w:cs="宋体"/>
          <w:color w:val="auto"/>
          <w:sz w:val="24"/>
          <w:szCs w:val="24"/>
        </w:rPr>
        <w:t>（3）培训</w:t>
      </w:r>
      <w:r>
        <w:rPr>
          <w:rFonts w:hint="eastAsia" w:ascii="宋体" w:hAnsi="宋体" w:eastAsia="宋体" w:cs="宋体"/>
          <w:color w:val="auto"/>
          <w:sz w:val="24"/>
          <w:szCs w:val="24"/>
          <w:lang w:val="en-US" w:eastAsia="zh-CN"/>
        </w:rPr>
        <w:t>次数</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2次以上</w:t>
      </w:r>
      <w:r>
        <w:rPr>
          <w:rFonts w:hint="eastAsia" w:ascii="宋体" w:hAnsi="宋体" w:eastAsia="宋体" w:cs="宋体"/>
          <w:color w:val="auto"/>
          <w:sz w:val="24"/>
          <w:szCs w:val="24"/>
        </w:rPr>
        <w:t>；</w:t>
      </w:r>
    </w:p>
    <w:p w14:paraId="0B7A0F22">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（4）培训人数：采购人指定</w:t>
      </w:r>
      <w:r>
        <w:rPr>
          <w:rFonts w:hint="eastAsia" w:ascii="宋体" w:hAnsi="宋体" w:eastAsia="宋体" w:cs="宋体"/>
          <w:color w:val="auto"/>
          <w:sz w:val="24"/>
          <w:szCs w:val="24"/>
          <w:lang w:eastAsia="zh-CN"/>
        </w:rPr>
        <w:t>；</w:t>
      </w:r>
    </w:p>
    <w:p w14:paraId="3248D119">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（5）培训费</w:t>
      </w:r>
      <w:r>
        <w:rPr>
          <w:rFonts w:hint="eastAsia" w:ascii="宋体" w:hAnsi="宋体" w:eastAsia="宋体" w:cs="宋体"/>
          <w:color w:val="auto"/>
          <w:sz w:val="24"/>
          <w:szCs w:val="24"/>
          <w:lang w:val="en-US" w:eastAsia="zh-CN"/>
        </w:rPr>
        <w:t>用</w:t>
      </w:r>
      <w:r>
        <w:rPr>
          <w:rFonts w:hint="eastAsia" w:ascii="宋体" w:hAnsi="宋体" w:eastAsia="宋体" w:cs="宋体"/>
          <w:color w:val="auto"/>
          <w:sz w:val="24"/>
          <w:szCs w:val="24"/>
        </w:rPr>
        <w:t>已包含在合同总价中</w:t>
      </w:r>
      <w:r>
        <w:rPr>
          <w:rFonts w:hint="eastAsia" w:ascii="宋体" w:hAnsi="宋体" w:eastAsia="宋体" w:cs="宋体"/>
          <w:color w:val="auto"/>
          <w:sz w:val="24"/>
          <w:szCs w:val="24"/>
          <w:lang w:eastAsia="zh-CN"/>
        </w:rPr>
        <w:t>。</w:t>
      </w:r>
    </w:p>
    <w:p w14:paraId="578C3D29">
      <w:pPr>
        <w:keepNext w:val="0"/>
        <w:keepLines w:val="0"/>
        <w:pageBreakBefore w:val="0"/>
        <w:widowControl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w:t>
      </w:r>
      <w:r>
        <w:rPr>
          <w:rFonts w:hint="eastAsia" w:ascii="宋体" w:hAnsi="宋体" w:eastAsia="宋体" w:cs="宋体"/>
          <w:b/>
          <w:bCs/>
          <w:color w:val="auto"/>
          <w:sz w:val="24"/>
          <w:szCs w:val="24"/>
          <w:lang w:val="en-US" w:eastAsia="zh-CN"/>
        </w:rPr>
        <w:t>质量保修范围和保修期</w:t>
      </w:r>
    </w:p>
    <w:p w14:paraId="3866BD8E">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（1）乙方应对所提供的全部货物，提供为期24个月的免费维修保养服</w:t>
      </w:r>
    </w:p>
    <w:p w14:paraId="7B50F0A1">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务。</w:t>
      </w:r>
    </w:p>
    <w:p w14:paraId="5DA8E17E">
      <w:pPr>
        <w:keepNext w:val="0"/>
        <w:keepLines w:val="0"/>
        <w:pageBreakBefore w:val="0"/>
        <w:widowControl w:val="0"/>
        <w:numPr>
          <w:ilvl w:val="0"/>
          <w:numId w:val="0"/>
        </w:numPr>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（2）设备开机率需满足≥95%；若仪器出现故障，乙方需在12小时内响</w:t>
      </w:r>
    </w:p>
    <w:p w14:paraId="0161B488">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应，24 小时内提供解决方案并落实处置。</w:t>
      </w:r>
    </w:p>
    <w:p w14:paraId="137A8766">
      <w:pPr>
        <w:keepNext w:val="0"/>
        <w:keepLines w:val="0"/>
        <w:pageBreakBefore w:val="0"/>
        <w:widowControl w:val="0"/>
        <w:numPr>
          <w:ilvl w:val="0"/>
          <w:numId w:val="0"/>
        </w:numPr>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（3）乙方（制造商或销售商）需在中国大陆地区设有正规售后服务机</w:t>
      </w:r>
    </w:p>
    <w:p w14:paraId="10EC70EE">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构及配套设施，并配备受过专业培训的售后服务人员，确保服务及时有效。</w:t>
      </w:r>
    </w:p>
    <w:p w14:paraId="12888C8E">
      <w:pPr>
        <w:keepNext w:val="0"/>
        <w:keepLines w:val="0"/>
        <w:pageBreakBefore w:val="0"/>
        <w:widowControl w:val="0"/>
        <w:numPr>
          <w:ilvl w:val="0"/>
          <w:numId w:val="0"/>
        </w:numPr>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（4）为保障设备正常稳定运行，乙方应在中国境内交通便利的区域设置</w:t>
      </w:r>
    </w:p>
    <w:p w14:paraId="3782FC69">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备件库，存入设备运行所需的全部必要备件，并保证备件供应期不少于5年。</w:t>
      </w:r>
    </w:p>
    <w:p w14:paraId="71408256">
      <w:pPr>
        <w:keepNext w:val="0"/>
        <w:keepLines w:val="0"/>
        <w:pageBreakBefore w:val="0"/>
        <w:widowControl w:val="0"/>
        <w:numPr>
          <w:ilvl w:val="0"/>
          <w:numId w:val="0"/>
        </w:numPr>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（5）乙方需提供400全国免费售后服务电话，确保甲方可随时咨询、报</w:t>
      </w:r>
    </w:p>
    <w:p w14:paraId="2BFB28FD">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修。</w:t>
      </w:r>
    </w:p>
    <w:p w14:paraId="13517F0D">
      <w:pPr>
        <w:keepNext w:val="0"/>
        <w:keepLines w:val="0"/>
        <w:pageBreakBefore w:val="0"/>
        <w:widowControl w:val="0"/>
        <w:kinsoku/>
        <w:wordWrap/>
        <w:overflowPunct/>
        <w:topLinePunct w:val="0"/>
        <w:autoSpaceDE/>
        <w:autoSpaceDN/>
        <w:bidi w:val="0"/>
        <w:snapToGrid w:val="0"/>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rPr>
        <w:t>.伴随服务</w:t>
      </w:r>
    </w:p>
    <w:p w14:paraId="3E1EAC61">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（1）乙方应随同每套货物，提供相应的中文技术文件，确保文件内容完整、清晰、易懂。</w:t>
      </w:r>
    </w:p>
    <w:p w14:paraId="3BC454A7">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（2）乙方需提供完整的设备操作使用手册、维护及修理技术文件、相关图纸、保修卡等资料。</w:t>
      </w:r>
    </w:p>
    <w:p w14:paraId="6C4F4375">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（3）制造厂出具的检验测试报告、设备检验合格证书、计量合格等级证书、质量保证书等相关证明文件，须随设备一同装箱提供，确保文件真实有效。</w:t>
      </w:r>
    </w:p>
    <w:p w14:paraId="7D9EA702">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（4）提供设备正常使用、维护所需的其他必要技术资料。</w:t>
      </w:r>
    </w:p>
    <w:p w14:paraId="730B5EA0">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（5）本条款所述全部伴随服务的费用，已包含在合同总价款中，甲方不另行支付任何相关费用。</w:t>
      </w:r>
    </w:p>
    <w:p w14:paraId="038CDF2A">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八、履约保证金相关约定</w:t>
      </w:r>
    </w:p>
    <w:p w14:paraId="458AD94A">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（一）本项目设备原厂质保为2年，合同履约责任约束周期约定为1年，保修期自项目最终验收合格之日起计算。</w:t>
      </w:r>
      <w:r>
        <w:rPr>
          <w:rFonts w:ascii="宋体" w:hAnsi="宋体" w:eastAsia="宋体" w:cs="宋体"/>
          <w:sz w:val="24"/>
          <w:szCs w:val="24"/>
        </w:rPr>
        <w:t>质保期内，因设备自身质量、工艺、配件问题等非人为、非不可抗力因素造成故障的，乙方须免费维修、更换配件及整机，所有衍生费用由乙方自行承担，并提供 7×24 小时技术支持与应急维保服务</w:t>
      </w:r>
      <w:r>
        <w:rPr>
          <w:rFonts w:hint="eastAsia" w:ascii="宋体" w:hAnsi="宋体" w:eastAsia="宋体" w:cs="宋体"/>
          <w:color w:val="auto"/>
          <w:sz w:val="24"/>
          <w:szCs w:val="24"/>
          <w:lang w:val="en-US" w:eastAsia="zh-CN"/>
        </w:rPr>
        <w:t>。</w:t>
      </w:r>
    </w:p>
    <w:p w14:paraId="30DFA7B5">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（二）本项目履约保证金不计利息。履约保证金满1年即可申请退还，不受原厂两年质保约束；一年约束期满、乙方履约及维保到位、无违约与质量遗留问题的，采购人于 10个工作日内无息全额退还履约保证金。履约保证金退还后，乙方仍须持续履行原厂第二年质保义务。</w:t>
      </w:r>
    </w:p>
    <w:p w14:paraId="4B902B09">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（三）质保期内若乙方拒不履行维保义务或存在违约，采购人有权从履约保证金中抵扣违约金及实际损失，不足部分依法追偿，并将其不良履约行为上报政府采购监管部门。</w:t>
      </w:r>
    </w:p>
    <w:p w14:paraId="272E2060">
      <w:pPr>
        <w:keepNext w:val="0"/>
        <w:keepLines w:val="0"/>
        <w:pageBreakBefore w:val="0"/>
        <w:widowControl w:val="0"/>
        <w:kinsoku/>
        <w:wordWrap/>
        <w:overflowPunct/>
        <w:topLinePunct w:val="0"/>
        <w:autoSpaceDE/>
        <w:autoSpaceDN/>
        <w:bidi w:val="0"/>
        <w:spacing w:line="440" w:lineRule="exact"/>
        <w:ind w:right="-256" w:rightChars="-8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、违约责任</w:t>
      </w:r>
    </w:p>
    <w:p w14:paraId="7BEBFD6E">
      <w:pPr>
        <w:keepNext w:val="0"/>
        <w:keepLines w:val="0"/>
        <w:pageBreakBefore w:val="0"/>
        <w:widowControl w:val="0"/>
        <w:numPr>
          <w:ilvl w:val="0"/>
          <w:numId w:val="0"/>
        </w:numPr>
        <w:kinsoku/>
        <w:wordWrap/>
        <w:overflowPunct/>
        <w:topLinePunct w:val="0"/>
        <w:autoSpaceDE/>
        <w:autoSpaceDN/>
        <w:bidi w:val="0"/>
        <w:snapToGrid w:val="0"/>
        <w:spacing w:line="440" w:lineRule="exact"/>
        <w:ind w:firstLine="480" w:firstLineChars="200"/>
        <w:textAlignment w:val="auto"/>
        <w:rPr>
          <w:rFonts w:ascii="宋体" w:hAnsi="宋体" w:eastAsia="宋体" w:cs="宋体"/>
          <w:color w:val="auto"/>
          <w:sz w:val="24"/>
          <w:szCs w:val="24"/>
        </w:rPr>
      </w:pPr>
      <w:r>
        <w:rPr>
          <w:rFonts w:ascii="宋体" w:hAnsi="宋体" w:eastAsia="宋体" w:cs="宋体"/>
          <w:color w:val="auto"/>
          <w:sz w:val="24"/>
          <w:szCs w:val="24"/>
        </w:rPr>
        <w:t>（一）乙方未按合同约定履约、存在虚假应标情形，或所供货物质量不达标、功能无法满足使用要求需要整改返工的，甲方有权单方解除合同，并依法追究乙方相应违约责任。</w:t>
      </w:r>
    </w:p>
    <w:p w14:paraId="2F34F709">
      <w:pPr>
        <w:keepNext w:val="0"/>
        <w:keepLines w:val="0"/>
        <w:pageBreakBefore w:val="0"/>
        <w:widowControl w:val="0"/>
        <w:numPr>
          <w:ilvl w:val="0"/>
          <w:numId w:val="0"/>
        </w:numPr>
        <w:kinsoku/>
        <w:wordWrap/>
        <w:overflowPunct/>
        <w:topLinePunct w:val="0"/>
        <w:autoSpaceDE/>
        <w:autoSpaceDN/>
        <w:bidi w:val="0"/>
        <w:snapToGrid w:val="0"/>
        <w:spacing w:line="440" w:lineRule="exact"/>
        <w:ind w:firstLine="480" w:firstLineChars="200"/>
        <w:textAlignment w:val="auto"/>
        <w:rPr>
          <w:rFonts w:ascii="宋体" w:hAnsi="宋体" w:eastAsia="宋体" w:cs="宋体"/>
          <w:color w:val="auto"/>
          <w:sz w:val="24"/>
          <w:szCs w:val="24"/>
        </w:rPr>
      </w:pPr>
      <w:r>
        <w:rPr>
          <w:rFonts w:ascii="宋体" w:hAnsi="宋体" w:eastAsia="宋体" w:cs="宋体"/>
          <w:color w:val="auto"/>
          <w:sz w:val="24"/>
          <w:szCs w:val="24"/>
        </w:rPr>
        <w:t>（二）乙方逾期交货超过 30 日的，甲方有权单方解除合同，乙方应向甲方支付合同总价款 20% 的违约金；若遇客观需延期情形，乙方须提前书面告知甲方并取得甲方书面同意，未经同意擅自延期的，每逾期 1 日，按合同总价款的 1‰向甲方支付逾期违约金。</w:t>
      </w:r>
    </w:p>
    <w:p w14:paraId="677DAE3D">
      <w:pPr>
        <w:keepNext w:val="0"/>
        <w:keepLines w:val="0"/>
        <w:pageBreakBefore w:val="0"/>
        <w:widowControl w:val="0"/>
        <w:numPr>
          <w:ilvl w:val="0"/>
          <w:numId w:val="0"/>
        </w:numPr>
        <w:kinsoku/>
        <w:wordWrap/>
        <w:overflowPunct/>
        <w:topLinePunct w:val="0"/>
        <w:autoSpaceDE/>
        <w:autoSpaceDN/>
        <w:bidi w:val="0"/>
        <w:snapToGrid w:val="0"/>
        <w:spacing w:line="440" w:lineRule="exact"/>
        <w:ind w:firstLine="480" w:firstLineChars="200"/>
        <w:textAlignment w:val="auto"/>
        <w:rPr>
          <w:rFonts w:ascii="宋体" w:hAnsi="宋体" w:eastAsia="宋体" w:cs="宋体"/>
          <w:color w:val="auto"/>
          <w:sz w:val="24"/>
          <w:szCs w:val="24"/>
        </w:rPr>
      </w:pPr>
      <w:r>
        <w:rPr>
          <w:rFonts w:ascii="宋体" w:hAnsi="宋体" w:eastAsia="宋体" w:cs="宋体"/>
          <w:color w:val="auto"/>
          <w:sz w:val="24"/>
          <w:szCs w:val="24"/>
        </w:rPr>
        <w:t>（三）乙方所供产品参数、质量未响应招标文件及合同技术要求，或无法提供合法有效的医疗器械注册证及相关资质的，甲方有权单方解除合同，并追究乙方相应违约赔偿责任。</w:t>
      </w:r>
    </w:p>
    <w:p w14:paraId="44FCD65D">
      <w:pPr>
        <w:keepNext w:val="0"/>
        <w:keepLines w:val="0"/>
        <w:pageBreakBefore w:val="0"/>
        <w:widowControl w:val="0"/>
        <w:numPr>
          <w:ilvl w:val="0"/>
          <w:numId w:val="0"/>
        </w:numPr>
        <w:kinsoku/>
        <w:wordWrap/>
        <w:overflowPunct/>
        <w:topLinePunct w:val="0"/>
        <w:autoSpaceDE/>
        <w:autoSpaceDN/>
        <w:bidi w:val="0"/>
        <w:snapToGrid w:val="0"/>
        <w:spacing w:line="440" w:lineRule="exact"/>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十</w:t>
      </w:r>
      <w:r>
        <w:rPr>
          <w:rFonts w:hint="eastAsia" w:ascii="宋体" w:hAnsi="宋体" w:eastAsia="宋体" w:cs="宋体"/>
          <w:b/>
          <w:bCs/>
          <w:color w:val="auto"/>
          <w:sz w:val="24"/>
          <w:szCs w:val="24"/>
        </w:rPr>
        <w:t>、合同争议的解决</w:t>
      </w:r>
    </w:p>
    <w:p w14:paraId="6B80E69A">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（一）</w:t>
      </w:r>
      <w:r>
        <w:rPr>
          <w:rFonts w:ascii="宋体" w:hAnsi="宋体" w:eastAsia="宋体" w:cs="宋体"/>
          <w:color w:val="auto"/>
          <w:sz w:val="24"/>
          <w:szCs w:val="24"/>
        </w:rPr>
        <w:t>本合同依法成立生效，非经双方协商一致或法定情形，任何一方不得擅自变更、中止或终止合同；确需变更、调整、中止或终止合同的，双方应履行书面协商及相应手续。</w:t>
      </w:r>
    </w:p>
    <w:p w14:paraId="21DE544D">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（二）</w:t>
      </w:r>
      <w:r>
        <w:rPr>
          <w:rFonts w:ascii="宋体" w:hAnsi="宋体" w:eastAsia="宋体" w:cs="宋体"/>
          <w:color w:val="auto"/>
          <w:sz w:val="24"/>
          <w:szCs w:val="24"/>
        </w:rPr>
        <w:t>本合同履行过程中发生的一切争议，由双方当事人首先友好协商解决；协商不成的，任何一方均有权向</w:t>
      </w:r>
      <w:r>
        <w:rPr>
          <w:rStyle w:val="6"/>
          <w:rFonts w:ascii="宋体" w:hAnsi="宋体" w:eastAsia="宋体" w:cs="宋体"/>
          <w:b/>
          <w:bCs/>
          <w:color w:val="auto"/>
          <w:sz w:val="24"/>
          <w:szCs w:val="24"/>
        </w:rPr>
        <w:t>甲方所在地</w:t>
      </w:r>
      <w:r>
        <w:rPr>
          <w:rFonts w:ascii="宋体" w:hAnsi="宋体" w:eastAsia="宋体" w:cs="宋体"/>
          <w:color w:val="auto"/>
          <w:sz w:val="24"/>
          <w:szCs w:val="24"/>
        </w:rPr>
        <w:t>有管辖权的人民法院提起诉讼，作为争议的最终解决方式。</w:t>
      </w:r>
    </w:p>
    <w:p w14:paraId="67EBA9BC">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（三）</w:t>
      </w:r>
      <w:r>
        <w:rPr>
          <w:rFonts w:ascii="宋体" w:hAnsi="宋体" w:eastAsia="宋体" w:cs="宋体"/>
          <w:color w:val="auto"/>
          <w:sz w:val="24"/>
          <w:szCs w:val="24"/>
        </w:rPr>
        <w:t>本合同未尽事宜，均参照《中华人民共和国民法典》及相关民事法律规定执行。</w:t>
      </w:r>
    </w:p>
    <w:p w14:paraId="3E3FE8CE">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十一</w:t>
      </w:r>
      <w:r>
        <w:rPr>
          <w:rFonts w:hint="eastAsia" w:ascii="宋体" w:hAnsi="宋体" w:eastAsia="宋体" w:cs="宋体"/>
          <w:b/>
          <w:bCs/>
          <w:color w:val="auto"/>
          <w:sz w:val="24"/>
          <w:szCs w:val="24"/>
        </w:rPr>
        <w:t>、其它事项</w:t>
      </w:r>
    </w:p>
    <w:p w14:paraId="1E310331">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1、甲、乙双方做为合同执行的主体，有义务及时完全履行合同。</w:t>
      </w:r>
    </w:p>
    <w:p w14:paraId="4F9332EB">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、合同未尽事宜，由甲、乙双方协商，协商方案作为本合同不可分割的组成部分，与本合同具有同等法律效力。</w:t>
      </w:r>
    </w:p>
    <w:p w14:paraId="5BFDAE48">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、招标文件和乙方的投标文件以及合同附件均为合同不可分割的部分。</w:t>
      </w:r>
    </w:p>
    <w:p w14:paraId="7B81174E">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lang w:val="en-US" w:eastAsia="zh-CN"/>
        </w:rPr>
        <w:t xml:space="preserve"> 陆 </w:t>
      </w:r>
      <w:r>
        <w:rPr>
          <w:rFonts w:hint="eastAsia" w:ascii="宋体" w:hAnsi="宋体" w:eastAsia="宋体" w:cs="宋体"/>
          <w:color w:val="auto"/>
          <w:sz w:val="24"/>
          <w:szCs w:val="24"/>
          <w:u w:val="none"/>
        </w:rPr>
        <w:t>份，甲方持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份、乙方持</w:t>
      </w:r>
      <w:r>
        <w:rPr>
          <w:rFonts w:hint="eastAsia" w:ascii="宋体" w:hAnsi="宋体" w:eastAsia="宋体" w:cs="宋体"/>
          <w:color w:val="auto"/>
          <w:sz w:val="24"/>
          <w:szCs w:val="24"/>
          <w:u w:val="single"/>
          <w:lang w:val="en-US" w:eastAsia="zh-CN"/>
        </w:rPr>
        <w:t xml:space="preserve"> 贰 </w:t>
      </w:r>
      <w:r>
        <w:rPr>
          <w:rFonts w:hint="eastAsia" w:ascii="宋体" w:hAnsi="宋体" w:eastAsia="宋体" w:cs="宋体"/>
          <w:color w:val="auto"/>
          <w:sz w:val="24"/>
          <w:szCs w:val="24"/>
          <w:u w:val="none"/>
        </w:rPr>
        <w:t>份</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双方签字盖章后生效。</w:t>
      </w:r>
    </w:p>
    <w:p w14:paraId="2EDBCC4A">
      <w:pPr>
        <w:snapToGrid w:val="0"/>
        <w:spacing w:line="360" w:lineRule="auto"/>
        <w:ind w:firstLine="645"/>
        <w:rPr>
          <w:rFonts w:hint="eastAsia" w:ascii="宋体" w:hAnsi="宋体" w:eastAsia="宋体" w:cs="宋体"/>
          <w:color w:val="auto"/>
          <w:sz w:val="24"/>
          <w:szCs w:val="24"/>
        </w:rPr>
      </w:pPr>
    </w:p>
    <w:tbl>
      <w:tblPr>
        <w:tblStyle w:val="4"/>
        <w:tblW w:w="8900" w:type="dxa"/>
        <w:tblInd w:w="0" w:type="dxa"/>
        <w:tblLayout w:type="fixed"/>
        <w:tblCellMar>
          <w:top w:w="0" w:type="dxa"/>
          <w:left w:w="108" w:type="dxa"/>
          <w:bottom w:w="0" w:type="dxa"/>
          <w:right w:w="108" w:type="dxa"/>
        </w:tblCellMar>
      </w:tblPr>
      <w:tblGrid>
        <w:gridCol w:w="4450"/>
        <w:gridCol w:w="4450"/>
      </w:tblGrid>
      <w:tr w14:paraId="62FFF67E">
        <w:tblPrEx>
          <w:tblCellMar>
            <w:top w:w="0" w:type="dxa"/>
            <w:left w:w="108" w:type="dxa"/>
            <w:bottom w:w="0" w:type="dxa"/>
            <w:right w:w="108" w:type="dxa"/>
          </w:tblCellMar>
        </w:tblPrEx>
        <w:trPr>
          <w:trHeight w:val="493" w:hRule="atLeast"/>
        </w:trPr>
        <w:tc>
          <w:tcPr>
            <w:tcW w:w="4450" w:type="dxa"/>
            <w:tcBorders>
              <w:top w:val="single" w:color="auto" w:sz="4" w:space="0"/>
              <w:left w:val="single" w:color="auto" w:sz="4" w:space="0"/>
              <w:bottom w:val="single" w:color="auto" w:sz="4" w:space="0"/>
              <w:right w:val="single" w:color="auto" w:sz="4" w:space="0"/>
            </w:tcBorders>
            <w:noWrap w:val="0"/>
            <w:vAlign w:val="center"/>
          </w:tcPr>
          <w:p w14:paraId="263271E8">
            <w:pPr>
              <w:snapToGrid w:val="0"/>
              <w:spacing w:after="0" w:line="360" w:lineRule="auto"/>
              <w:ind w:firstLine="720" w:firstLineChars="3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甲  方：</w:t>
            </w:r>
          </w:p>
        </w:tc>
        <w:tc>
          <w:tcPr>
            <w:tcW w:w="4450" w:type="dxa"/>
            <w:tcBorders>
              <w:top w:val="single" w:color="auto" w:sz="4" w:space="0"/>
              <w:left w:val="nil"/>
              <w:bottom w:val="single" w:color="auto" w:sz="4" w:space="0"/>
              <w:right w:val="single" w:color="auto" w:sz="4" w:space="0"/>
            </w:tcBorders>
            <w:noWrap w:val="0"/>
            <w:vAlign w:val="center"/>
          </w:tcPr>
          <w:p w14:paraId="2C8EF75D">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69BD3918">
        <w:tblPrEx>
          <w:tblCellMar>
            <w:top w:w="0" w:type="dxa"/>
            <w:left w:w="108" w:type="dxa"/>
            <w:bottom w:w="0" w:type="dxa"/>
            <w:right w:w="108" w:type="dxa"/>
          </w:tblCellMar>
        </w:tblPrEx>
        <w:trPr>
          <w:trHeight w:val="493" w:hRule="atLeast"/>
        </w:trPr>
        <w:tc>
          <w:tcPr>
            <w:tcW w:w="4450" w:type="dxa"/>
            <w:tcBorders>
              <w:top w:val="single" w:color="auto" w:sz="4" w:space="0"/>
              <w:left w:val="single" w:color="auto" w:sz="4" w:space="0"/>
              <w:bottom w:val="single" w:color="auto" w:sz="4" w:space="0"/>
              <w:right w:val="single" w:color="auto" w:sz="4" w:space="0"/>
            </w:tcBorders>
            <w:noWrap w:val="0"/>
            <w:vAlign w:val="center"/>
          </w:tcPr>
          <w:p w14:paraId="7D429320">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地 址：</w:t>
            </w:r>
          </w:p>
        </w:tc>
        <w:tc>
          <w:tcPr>
            <w:tcW w:w="4450" w:type="dxa"/>
            <w:tcBorders>
              <w:top w:val="single" w:color="auto" w:sz="4" w:space="0"/>
              <w:left w:val="nil"/>
              <w:bottom w:val="single" w:color="auto" w:sz="4" w:space="0"/>
              <w:right w:val="single" w:color="auto" w:sz="4" w:space="0"/>
            </w:tcBorders>
            <w:noWrap w:val="0"/>
            <w:vAlign w:val="center"/>
          </w:tcPr>
          <w:p w14:paraId="6393AAD0">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地 址：</w:t>
            </w:r>
          </w:p>
        </w:tc>
      </w:tr>
      <w:tr w14:paraId="3B737DBC">
        <w:tblPrEx>
          <w:tblCellMar>
            <w:top w:w="0" w:type="dxa"/>
            <w:left w:w="108" w:type="dxa"/>
            <w:bottom w:w="0" w:type="dxa"/>
            <w:right w:w="108" w:type="dxa"/>
          </w:tblCellMar>
        </w:tblPrEx>
        <w:trPr>
          <w:trHeight w:val="493" w:hRule="atLeast"/>
        </w:trPr>
        <w:tc>
          <w:tcPr>
            <w:tcW w:w="4450" w:type="dxa"/>
            <w:tcBorders>
              <w:top w:val="single" w:color="auto" w:sz="4" w:space="0"/>
              <w:left w:val="single" w:color="auto" w:sz="4" w:space="0"/>
              <w:bottom w:val="single" w:color="auto" w:sz="4" w:space="0"/>
              <w:right w:val="single" w:color="auto" w:sz="4" w:space="0"/>
            </w:tcBorders>
            <w:noWrap w:val="0"/>
            <w:vAlign w:val="center"/>
          </w:tcPr>
          <w:p w14:paraId="4DC92244">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 xml:space="preserve">授权代表： </w:t>
            </w:r>
          </w:p>
        </w:tc>
        <w:tc>
          <w:tcPr>
            <w:tcW w:w="4450" w:type="dxa"/>
            <w:tcBorders>
              <w:top w:val="single" w:color="auto" w:sz="4" w:space="0"/>
              <w:left w:val="nil"/>
              <w:bottom w:val="single" w:color="auto" w:sz="4" w:space="0"/>
              <w:right w:val="single" w:color="auto" w:sz="4" w:space="0"/>
            </w:tcBorders>
            <w:noWrap w:val="0"/>
            <w:vAlign w:val="center"/>
          </w:tcPr>
          <w:p w14:paraId="66A41C34">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授权代表：</w:t>
            </w:r>
          </w:p>
        </w:tc>
      </w:tr>
      <w:tr w14:paraId="249FFF8D">
        <w:tblPrEx>
          <w:tblCellMar>
            <w:top w:w="0" w:type="dxa"/>
            <w:left w:w="108" w:type="dxa"/>
            <w:bottom w:w="0" w:type="dxa"/>
            <w:right w:w="108" w:type="dxa"/>
          </w:tblCellMar>
        </w:tblPrEx>
        <w:trPr>
          <w:trHeight w:val="493" w:hRule="atLeast"/>
        </w:trPr>
        <w:tc>
          <w:tcPr>
            <w:tcW w:w="4450" w:type="dxa"/>
            <w:tcBorders>
              <w:top w:val="single" w:color="auto" w:sz="4" w:space="0"/>
              <w:left w:val="single" w:color="auto" w:sz="4" w:space="0"/>
              <w:bottom w:val="single" w:color="auto" w:sz="4" w:space="0"/>
              <w:right w:val="single" w:color="auto" w:sz="4" w:space="0"/>
            </w:tcBorders>
            <w:noWrap w:val="0"/>
            <w:vAlign w:val="center"/>
          </w:tcPr>
          <w:p w14:paraId="64B826E8">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4450" w:type="dxa"/>
            <w:tcBorders>
              <w:top w:val="single" w:color="auto" w:sz="4" w:space="0"/>
              <w:left w:val="nil"/>
              <w:bottom w:val="single" w:color="auto" w:sz="4" w:space="0"/>
              <w:right w:val="single" w:color="auto" w:sz="4" w:space="0"/>
            </w:tcBorders>
            <w:noWrap w:val="0"/>
            <w:vAlign w:val="center"/>
          </w:tcPr>
          <w:p w14:paraId="73BC7E63">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r>
      <w:tr w14:paraId="29D26764">
        <w:tblPrEx>
          <w:tblCellMar>
            <w:top w:w="0" w:type="dxa"/>
            <w:left w:w="108" w:type="dxa"/>
            <w:bottom w:w="0" w:type="dxa"/>
            <w:right w:w="108" w:type="dxa"/>
          </w:tblCellMar>
        </w:tblPrEx>
        <w:trPr>
          <w:trHeight w:val="493" w:hRule="atLeast"/>
        </w:trPr>
        <w:tc>
          <w:tcPr>
            <w:tcW w:w="4450" w:type="dxa"/>
            <w:tcBorders>
              <w:top w:val="single" w:color="auto" w:sz="4" w:space="0"/>
              <w:left w:val="single" w:color="auto" w:sz="4" w:space="0"/>
              <w:bottom w:val="single" w:color="auto" w:sz="4" w:space="0"/>
              <w:right w:val="single" w:color="auto" w:sz="4" w:space="0"/>
            </w:tcBorders>
            <w:noWrap w:val="0"/>
            <w:vAlign w:val="center"/>
          </w:tcPr>
          <w:p w14:paraId="14352B8D">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开户行：</w:t>
            </w:r>
          </w:p>
        </w:tc>
        <w:tc>
          <w:tcPr>
            <w:tcW w:w="4450" w:type="dxa"/>
            <w:tcBorders>
              <w:top w:val="single" w:color="auto" w:sz="4" w:space="0"/>
              <w:left w:val="nil"/>
              <w:bottom w:val="single" w:color="auto" w:sz="4" w:space="0"/>
              <w:right w:val="single" w:color="auto" w:sz="4" w:space="0"/>
            </w:tcBorders>
            <w:noWrap w:val="0"/>
            <w:vAlign w:val="center"/>
          </w:tcPr>
          <w:p w14:paraId="7F942BC5">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开户行： </w:t>
            </w:r>
          </w:p>
        </w:tc>
      </w:tr>
      <w:tr w14:paraId="08132BF4">
        <w:tblPrEx>
          <w:tblCellMar>
            <w:top w:w="0" w:type="dxa"/>
            <w:left w:w="108" w:type="dxa"/>
            <w:bottom w:w="0" w:type="dxa"/>
            <w:right w:w="108" w:type="dxa"/>
          </w:tblCellMar>
        </w:tblPrEx>
        <w:trPr>
          <w:trHeight w:val="493" w:hRule="atLeast"/>
        </w:trPr>
        <w:tc>
          <w:tcPr>
            <w:tcW w:w="4450" w:type="dxa"/>
            <w:tcBorders>
              <w:top w:val="single" w:color="auto" w:sz="4" w:space="0"/>
              <w:left w:val="single" w:color="auto" w:sz="4" w:space="0"/>
              <w:bottom w:val="single" w:color="auto" w:sz="4" w:space="0"/>
              <w:right w:val="single" w:color="auto" w:sz="4" w:space="0"/>
            </w:tcBorders>
            <w:noWrap w:val="0"/>
            <w:vAlign w:val="center"/>
          </w:tcPr>
          <w:p w14:paraId="78DCEED5">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c>
          <w:tcPr>
            <w:tcW w:w="4450" w:type="dxa"/>
            <w:tcBorders>
              <w:top w:val="single" w:color="auto" w:sz="4" w:space="0"/>
              <w:left w:val="nil"/>
              <w:bottom w:val="single" w:color="auto" w:sz="4" w:space="0"/>
              <w:right w:val="single" w:color="auto" w:sz="4" w:space="0"/>
            </w:tcBorders>
            <w:noWrap w:val="0"/>
            <w:vAlign w:val="center"/>
          </w:tcPr>
          <w:p w14:paraId="4468CB58">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6C41C14F">
        <w:tblPrEx>
          <w:tblCellMar>
            <w:top w:w="0" w:type="dxa"/>
            <w:left w:w="108" w:type="dxa"/>
            <w:bottom w:w="0" w:type="dxa"/>
            <w:right w:w="108" w:type="dxa"/>
          </w:tblCellMar>
        </w:tblPrEx>
        <w:trPr>
          <w:trHeight w:val="542" w:hRule="atLeast"/>
        </w:trPr>
        <w:tc>
          <w:tcPr>
            <w:tcW w:w="4450" w:type="dxa"/>
            <w:tcBorders>
              <w:top w:val="single" w:color="auto" w:sz="4" w:space="0"/>
              <w:left w:val="single" w:color="auto" w:sz="4" w:space="0"/>
              <w:bottom w:val="single" w:color="auto" w:sz="4" w:space="0"/>
              <w:right w:val="single" w:color="auto" w:sz="4" w:space="0"/>
            </w:tcBorders>
            <w:noWrap w:val="0"/>
            <w:vAlign w:val="center"/>
          </w:tcPr>
          <w:p w14:paraId="60D7D7E9">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tc>
        <w:tc>
          <w:tcPr>
            <w:tcW w:w="4450" w:type="dxa"/>
            <w:tcBorders>
              <w:top w:val="single" w:color="auto" w:sz="4" w:space="0"/>
              <w:left w:val="nil"/>
              <w:bottom w:val="single" w:color="auto" w:sz="4" w:space="0"/>
              <w:right w:val="single" w:color="auto" w:sz="4" w:space="0"/>
            </w:tcBorders>
            <w:noWrap w:val="0"/>
            <w:vAlign w:val="center"/>
          </w:tcPr>
          <w:p w14:paraId="3EAD6CE9">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tc>
      </w:tr>
    </w:tbl>
    <w:p w14:paraId="4DC55165">
      <w:pPr>
        <w:keepNext w:val="0"/>
        <w:keepLines w:val="0"/>
        <w:pageBreakBefore w:val="0"/>
        <w:widowControl w:val="0"/>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26D9F"/>
    <w:rsid w:val="04C64E6C"/>
    <w:rsid w:val="07E82142"/>
    <w:rsid w:val="087D3A94"/>
    <w:rsid w:val="0BE34A57"/>
    <w:rsid w:val="0D32696F"/>
    <w:rsid w:val="0DAE15F9"/>
    <w:rsid w:val="14493005"/>
    <w:rsid w:val="1D686BFE"/>
    <w:rsid w:val="1FCF0C21"/>
    <w:rsid w:val="2130749E"/>
    <w:rsid w:val="28CB22A3"/>
    <w:rsid w:val="2A77438F"/>
    <w:rsid w:val="2E110657"/>
    <w:rsid w:val="3020650A"/>
    <w:rsid w:val="30F94657"/>
    <w:rsid w:val="34433534"/>
    <w:rsid w:val="3F9B4224"/>
    <w:rsid w:val="426A4EA0"/>
    <w:rsid w:val="48393C30"/>
    <w:rsid w:val="4A6924AC"/>
    <w:rsid w:val="4B2B079A"/>
    <w:rsid w:val="4F4D3920"/>
    <w:rsid w:val="5B286E5C"/>
    <w:rsid w:val="5C6D643A"/>
    <w:rsid w:val="634C56B2"/>
    <w:rsid w:val="68B75399"/>
    <w:rsid w:val="692F0984"/>
    <w:rsid w:val="76944F4E"/>
    <w:rsid w:val="77DA2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4"/>
    </w:rPr>
  </w:style>
  <w:style w:type="paragraph" w:styleId="3">
    <w:name w:val="footer"/>
    <w:basedOn w:val="1"/>
    <w:next w:val="1"/>
    <w:qFormat/>
    <w:uiPriority w:val="99"/>
    <w:pPr>
      <w:tabs>
        <w:tab w:val="center" w:pos="4153"/>
        <w:tab w:val="right" w:pos="8306"/>
      </w:tabs>
      <w:snapToGrid w:val="0"/>
      <w:jc w:val="left"/>
    </w:pPr>
    <w:rPr>
      <w:sz w:val="18"/>
    </w:rPr>
  </w:style>
  <w:style w:type="character" w:styleId="6">
    <w:name w:val="Strong"/>
    <w:basedOn w:val="5"/>
    <w:qFormat/>
    <w:uiPriority w:val="0"/>
    <w:rPr>
      <w:b/>
    </w:rPr>
  </w:style>
  <w:style w:type="paragraph" w:customStyle="1" w:styleId="7">
    <w:name w:val="样式 10 磅"/>
    <w:basedOn w:val="1"/>
    <w:qFormat/>
    <w:uiPriority w:val="0"/>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2685</Words>
  <Characters>2702</Characters>
  <Lines>0</Lines>
  <Paragraphs>0</Paragraphs>
  <TotalTime>30</TotalTime>
  <ScaleCrop>false</ScaleCrop>
  <LinksUpToDate>false</LinksUpToDate>
  <CharactersWithSpaces>2855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2026-02-27T06:03:00Z</dcterms:created>
  <dc:creator>pc5</dc:creator>
  <cp:lastModifiedBy>WPS_1743074128</cp:lastModifiedBy>
  <dcterms:modified xsi:type="dcterms:W3CDTF">2026-04-23T06:12:17Z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eyJoZGlkIjoiMTE5ZDgwNTg2OWY5MTY3M2Q4ZmMzMjUyY2EzMTZjNzIiLCJ1c2VySWQiOiIxNjg5Njc4ODA0In0=</vt:lpwstr>
  </property>
  <property fmtid="{D5CDD505-2E9C-101B-9397-08002B2CF9AE}" pid="4" name="ICV">
    <vt:lpwstr>1D7C60042C9A43BAAFFC66358AF4D5F5_12</vt:lpwstr>
  </property>
</Properties>
</file>