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版本号：政采-勉县-2026-0010420260409001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汉中市勉县定军山镇2026年省级财政以工代赈项目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政采-勉县-2026-00104</w:t>
      </w:r>
      <w:r>
        <w:br/>
      </w:r>
      <w:r>
        <w:br/>
      </w:r>
      <w:r>
        <w:br/>
      </w:r>
    </w:p>
    <w:p>
      <w:pPr>
        <w:pStyle w:val="null3"/>
        <w:jc w:val="center"/>
        <w:outlineLvl w:val="2"/>
      </w:pPr>
      <w:r>
        <w:rPr>
          <w:rFonts w:ascii="仿宋_GB2312" w:hAnsi="仿宋_GB2312" w:cs="仿宋_GB2312" w:eastAsia="仿宋_GB2312"/>
          <w:sz w:val="28"/>
          <w:b/>
        </w:rPr>
        <w:t>勉县定军山镇人民政府</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勉县定军山镇人民政府</w:t>
      </w:r>
      <w:r>
        <w:rPr>
          <w:rFonts w:ascii="仿宋_GB2312" w:hAnsi="仿宋_GB2312" w:cs="仿宋_GB2312" w:eastAsia="仿宋_GB2312"/>
        </w:rPr>
        <w:t>委托，拟对</w:t>
      </w:r>
      <w:r>
        <w:rPr>
          <w:rFonts w:ascii="仿宋_GB2312" w:hAnsi="仿宋_GB2312" w:cs="仿宋_GB2312" w:eastAsia="仿宋_GB2312"/>
        </w:rPr>
        <w:t>汉中市勉县定军山镇2026年省级财政以工代赈项目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政采-勉县-2026-00104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汉中市勉县定军山镇2026年省级财政以工代赈项目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本项目位于勉县定军山镇沟口村，新建产业道路2.3km，路基宽4.5m.路面宽3.5m，蝶形混凝土边沟1420m;M7.5浆砌片石挡土墙80m³，安装1-0.5米钢筋混凝土圆管涵8道共48m,混凝土护栏16m(具体内容详见工程量清单)。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采购包1（汉中市勉县定军山镇2026年省级财政以工代赈项目）：属于专门面向中小企业采购。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3、供应商资质：供应商须具备公路工程施工总承包三级以上（含三级）资质，且持有有效的安全生产许可证;</w:t>
      </w:r>
    </w:p>
    <w:p>
      <w:pPr>
        <w:pStyle w:val="null3"/>
      </w:pPr>
      <w:r>
        <w:rPr>
          <w:rFonts w:ascii="仿宋_GB2312" w:hAnsi="仿宋_GB2312" w:cs="仿宋_GB2312" w:eastAsia="仿宋_GB2312"/>
        </w:rPr>
        <w:t>4、项目经理资质：拟派项目负责人须具有公路工程专业二级及以上注册建造师执业资格，并取得安全生产考核合格证书（B证），且无在建工程;</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6、中小企业声明函：本项目专门面向中小企业采购，供应商应为中小微企业，填写中小企业声明函并对真实性负责;</w:t>
      </w:r>
    </w:p>
    <w:p>
      <w:pPr>
        <w:pStyle w:val="null3"/>
      </w:pPr>
      <w:r>
        <w:rPr>
          <w:rFonts w:ascii="仿宋_GB2312" w:hAnsi="仿宋_GB2312" w:cs="仿宋_GB2312" w:eastAsia="仿宋_GB2312"/>
        </w:rPr>
        <w:t>7、本项目不接受联合体磋商：本项目不接受联合体磋商。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勉县定军山镇人民政府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定军山镇高寨村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勉县定军山镇人民政府经办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13488051333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陕西省汉中市汉台区茶城铭座11层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18717460812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采购包1：1,389,788.00元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勉县定军山镇人民政府</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勉县定军山镇人民政府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勉县定军山镇人民政府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符合国家现行工程建设标准及项目需求清单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联系电话：18717460812</w:t>
      </w:r>
    </w:p>
    <w:p>
      <w:pPr>
        <w:pStyle w:val="null3"/>
      </w:pPr>
      <w:r>
        <w:rPr>
          <w:rFonts w:ascii="仿宋_GB2312" w:hAnsi="仿宋_GB2312" w:cs="仿宋_GB2312" w:eastAsia="仿宋_GB2312"/>
        </w:rPr>
        <w:t>地址：陕西省汉中市汉台区茶城铭座11层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1,389,788.00</w:t>
      </w:r>
    </w:p>
    <w:p>
      <w:pPr>
        <w:pStyle w:val="null3"/>
      </w:pPr>
      <w:r>
        <w:rPr>
          <w:rFonts w:ascii="仿宋_GB2312" w:hAnsi="仿宋_GB2312" w:cs="仿宋_GB2312" w:eastAsia="仿宋_GB2312"/>
        </w:rPr>
        <w:t>采购包最高限价（元）: 1,389,788.00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公路工程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1,389,788.00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标的名称：公路工程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(1)施工范围：工程量清单内所含的全部内容</w:t>
            </w:r>
            <w:r>
              <w:br/>
            </w:r>
            <w:r>
              <w:rPr>
                <w:rFonts w:ascii="仿宋_GB2312" w:hAnsi="仿宋_GB2312" w:cs="仿宋_GB2312" w:eastAsia="仿宋_GB2312"/>
              </w:rPr>
              <w:t xml:space="preserve"> (2)工期：180日历天</w:t>
            </w:r>
            <w:r>
              <w:br/>
            </w:r>
            <w:r>
              <w:rPr>
                <w:rFonts w:ascii="仿宋_GB2312" w:hAnsi="仿宋_GB2312" w:cs="仿宋_GB2312" w:eastAsia="仿宋_GB2312"/>
              </w:rPr>
              <w:t xml:space="preserve"> (3)质量要求：工程交工验收的质量等级评定：合格；竣工验收的质量等级评定：合格。</w:t>
            </w:r>
            <w:r>
              <w:br/>
            </w:r>
            <w:r>
              <w:rPr>
                <w:rFonts w:ascii="仿宋_GB2312" w:hAnsi="仿宋_GB2312" w:cs="仿宋_GB2312" w:eastAsia="仿宋_GB2312"/>
              </w:rPr>
              <w:t xml:space="preserve"> (4)安全目标：严格规范施工全过程管理，杜绝重大及以上生产安全责任事故</w:t>
            </w:r>
            <w:r>
              <w:rPr>
                <w:rFonts w:ascii="仿宋_GB2312" w:hAnsi="仿宋_GB2312" w:cs="仿宋_GB2312" w:eastAsia="仿宋_GB2312"/>
              </w:rPr>
              <w:t>。</w:t>
            </w:r>
            <w:r>
              <w:br/>
            </w:r>
            <w:r>
              <w:rPr>
                <w:rFonts w:ascii="仿宋_GB2312" w:hAnsi="仿宋_GB2312" w:cs="仿宋_GB2312" w:eastAsia="仿宋_GB2312"/>
              </w:rPr>
              <w:t xml:space="preserve"> (5)本工程计价采用公路造价软件：同望 WECOST V11.1.1</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供应商需对照本项目《项目评审办法》，逐项响应全部技术及商务指标，附对应支撑材料并按评审顺序标注，确保无遗漏、符合要求、便核查。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供应商须具备公路工程施工总承包三级以上（含三级）资质，且持有有效的安全生产许可证;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拟派项目负责人须具有公路工程专业二级及以上注册建造师执业资格，并取得安全生产考核合格证书（B证），且无在建工程;</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供应商针对本项目编制完善的施工进度计划，内容包含：①施工进度目标和施工进度计划表②进度计划保证措施③工期保证措施。 二、评审标准 1、完整性：计划必须全面，对评审内容中的各项要求有详细描述； 2、可实施性：切合本项目实际情况，实施步骤清晰、合理； 3、针对性：能够紧扣项目实际情况，内容科学合理。 三、赋分标准 （针对每条评审标准，如存在不合理的方面每处扣0.5分，扣完为止）①施工进度目标和施工进度计划表：每完全满足一个评审标准得1分，满分3分；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三、赋分标准（针对每条评审标准，如存在不合理的方面每处扣0.5分，扣完为止）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1、完整性：措施必须全面，对评审内容中的各项要求有详细描述； 2、可实施性：切合本项目实际情况，实施步骤清晰、合理； 3、针对性：能够紧扣项目实际情况 ，内容科学合理。 三、赋分标准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安全文明施工与环保措施</w:t>
            </w:r>
          </w:p>
        </w:tc>
        <w:tc>
          <w:tcPr>
            <w:tcW w:type="dxa" w:w="2492"/>
          </w:tcPr>
          <w:p>
            <w:pPr>
              <w:pStyle w:val="null3"/>
            </w:pPr>
            <w:r>
              <w:rPr>
                <w:rFonts w:ascii="仿宋_GB2312" w:hAnsi="仿宋_GB2312" w:cs="仿宋_GB2312" w:eastAsia="仿宋_GB2312"/>
              </w:rPr>
              <w:t>一、评审内容 供应商应针对本项目实际情况编制安全文明施工与环保措施，包含但不限于①安全防护、②交通导行、③扬尘/噪音/污水控制、④建筑垃圾处理。 二、评审标准 1.可实施性：切合本项目实际情况，提出步骤清晰、满足需求的方案。 2.针对性：方案能够紧扣项目实际情况，内容科学合理。 三、赋分标准 ①安全防护：每完全满足一个评审标准得1分，满分2分。 ②交通导行：每完全满足一个评审标准得1分，满分2分。 ③扬尘/噪音/污水控制：每完全满足一个评审标准得1分，满分2分。 ④建筑垃圾处理：每完全满足一个评审标准得1分，满分2分。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1、完整性：管理机构设置必须全面， 对评审内容中的各项要求有详细描述； 2、可实施性：切合本项目实际情况，实施步骤清晰、合理； 3、针对性：能够紧扣项目实际情况，内容科学合理。 三、赋分标准（针对每条评审标准，如存在不合理的方面每处扣0.5分）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一、评审内容 供应商针对本项目编制完善的后期服务方案，内容包含：①服务范围及后期保障措施②突发事件处理时限与措施③保修期④定期回访维护措施。 二、评审标准 1、完整性：方案必须全面， 对评审内容中的各项要求有详细描述； 2、可实施性：切合本项目实际情况，提出步骤清晰、合理的方案； 3、针对性：能够紧扣项目实际情况，内容科学合理。 三、赋分标准（针对每条评审标准，如存在不合理的方面每处扣0.5分，扣完为止） ①服务范围及后期保障措施：每完全满足一个评审标准得1分，满分3分； ②突发事件处理时限与措施：每完全满足一个评审标准得1分，满分3分；③保修期：每完全满足一个评审标准得1分，满分3分；④定期回访维护措施：每完全满足一个评审标准得1分，满分3分。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自2023年1月1日至今）类似项目业绩，响应文件中应附有其业绩证明材料，业绩以合同协议书及项目验收合格证明资料加盖公章的复印件为依据，每提供一个得2.5分，满分5分。以验收合格证明资料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磋商报价得分=(磋商基准价／最后磋商报价)×价格分值计算分数时四舍五入取小数点后两位。注：磋商小组三分之二以上人员认为某最后磋商报价有低于成本价嫌疑的，该报价为无效报价。 注：本项目为专门面向中小企业项目，不再执行价格评审优惠的扶持政策。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