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大熊猫国家公园陕西片区天空地一体化监测前端数据采集和管理平台构架项目</w:t>
      </w:r>
    </w:p>
    <w:p>
      <w:pPr>
        <w:pStyle w:val="4"/>
        <w:ind w:left="0" w:leftChars="0" w:firstLine="0" w:firstLineChars="0"/>
        <w:jc w:val="center"/>
        <w:rPr>
          <w:rStyle w:val="7"/>
          <w:rFonts w:hint="eastAsia" w:ascii="仿宋" w:hAnsi="仿宋" w:eastAsia="仿宋" w:cs="仿宋"/>
          <w:sz w:val="32"/>
          <w:szCs w:val="32"/>
          <w:lang w:val="en-US" w:eastAsia="zh-CN" w:bidi="ar"/>
        </w:rPr>
      </w:pPr>
      <w:r>
        <w:rPr>
          <w:rStyle w:val="7"/>
          <w:rFonts w:hint="eastAsia" w:ascii="仿宋" w:hAnsi="仿宋" w:eastAsia="仿宋" w:cs="仿宋"/>
          <w:sz w:val="32"/>
          <w:szCs w:val="32"/>
          <w:lang w:val="en-US" w:eastAsia="zh-CN" w:bidi="ar"/>
        </w:rPr>
        <w:t>合同包1</w:t>
      </w:r>
      <w:bookmarkStart w:id="0" w:name="_GoBack"/>
      <w:bookmarkEnd w:id="0"/>
      <w:r>
        <w:rPr>
          <w:rStyle w:val="7"/>
          <w:rFonts w:hint="eastAsia" w:ascii="仿宋" w:hAnsi="仿宋" w:eastAsia="仿宋" w:cs="仿宋"/>
          <w:sz w:val="32"/>
          <w:szCs w:val="32"/>
          <w:lang w:val="en-US" w:eastAsia="zh-CN" w:bidi="ar"/>
        </w:rPr>
        <w:t>采购清单</w:t>
      </w:r>
    </w:p>
    <w:tbl>
      <w:tblPr>
        <w:tblStyle w:val="5"/>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730"/>
        <w:gridCol w:w="477"/>
        <w:gridCol w:w="409"/>
        <w:gridCol w:w="6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建设内容</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前端数据采集体系完善</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b/>
                <w:bCs/>
                <w:i w:val="0"/>
                <w:iCs w:val="0"/>
                <w:color w:val="000000"/>
                <w:sz w:val="24"/>
                <w:szCs w:val="24"/>
                <w:u w:val="none"/>
              </w:rPr>
            </w:pPr>
            <w:r>
              <w:rPr>
                <w:rFonts w:hint="eastAsia" w:ascii="仿宋" w:hAnsi="仿宋" w:eastAsia="仿宋" w:cs="仿宋"/>
                <w:sz w:val="24"/>
                <w:szCs w:val="24"/>
              </w:rPr>
              <w:t>建立包括动物监测、植物监测、人为活动监测、环境监测、森林火险监测等在内的综合的、全方位的、立体化的生态空间监控监测网络。基于科学合理的监测布局，在原有设备的基础上，完善设备全区布局和空间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森林环境监测固定气象站</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以一定的海拔间隔布设在整个辖区，监测森林温度、湿度、降雨量、太阳辐射、空气质量、负氧离子等关键指标。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野生植物固定监控终端</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设置在植物物种监测重点区域。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保护站数据存储设备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用于两个保护站从野外终端传回的数据的存储。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数据管理与软件平台完善</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数据库建设与基础数据完善</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依据《国家公园监测规范》（GT/39738-2020）补充完善辖区基础地理矢量数据，标准化历史工作中的巡护监测等业务数据，在现有基础上根据国家公园相关规范完善数据库。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国家公园日常巡护监测调查等各项管理模块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用于实现业务计划制定、过程管理、数据管理、统计分析的标准化、自动化，覆盖国家公园日常资源管理所涉及的巡护、监测、调查、巡查执法等各项业务。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国家公园生物多样性管理模块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用于实现国家公园物种本底资源的管理，包括物种各类基本信息，如分类系统、保护等级、分布信息等，形成完善的、动态更新的物种本底。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国家公园基础本底展示模块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全面展示辖区内的自然地理基础（土壤、地貌、海拔、植被等）、社会经济基础（道路、交通、社区等）、保护管理基本情况（关系范围、功能分区、站点体系等），基于地理信息系统进行灵活交互的、二维和三维空间内的全方位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红外相机与视频监控数据智能处理分析模块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用于实现结合人工智能等技术对海量红外相机与视频监控等终端生产的影像数据进行自动化识别与标记，整合进入监测数据库。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国家公园生态监测数据分析模块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用于实现基于综合的监测数据对辖区的动物、植物、人为活动、森林环境等主要指标进行空间和统计分析，反映资源的动态变化，提供管理措施制定和调整的数据支撑和决策依据。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生态服务价值核算评估模块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用于实现对辖区主要生态服务价值的定量核算评估，包括水土保持、森林固碳等，为生态资产负债表等提供支撑。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风险预警评估模块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用于实现针对辖区主要风险基于大数据进行动态评估预警，包括动物疫源疫病、森林火灾等。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自然教育管理模块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用于实现自然教育开展过程中的活动管理、课程管理、内容与素材管理等。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项目管理模块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用于实现业务项目基本信息和成果的管理，包括项目资金投入、开展时间、负责部门等基本情况，以及项目执行过程中所形成的各类成果和文档的维护。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数据交换与共享接口</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用于建立规范的数据接口，形成本单位和省级以及国家级平台间的数据交换和共享。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2.12</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Style w:val="7"/>
                <w:rFonts w:hint="eastAsia" w:ascii="仿宋" w:hAnsi="仿宋" w:eastAsia="仿宋" w:cs="仿宋"/>
                <w:color w:val="auto"/>
                <w:sz w:val="24"/>
                <w:szCs w:val="24"/>
                <w:lang w:val="en-US" w:eastAsia="zh-CN" w:bidi="ar"/>
              </w:rPr>
              <w:t>数据传输路径</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Style w:val="7"/>
                <w:rFonts w:hint="eastAsia" w:ascii="仿宋" w:hAnsi="仿宋" w:eastAsia="仿宋" w:cs="仿宋"/>
                <w:color w:val="auto"/>
                <w:sz w:val="24"/>
                <w:szCs w:val="24"/>
                <w:lang w:val="en-US" w:eastAsia="zh-CN" w:bidi="ar"/>
              </w:rPr>
              <w:t>年</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保护站与管理局的链路构成主干链路。拟设管理局 1 个，保护站 2 个。按照其业务特性及承载的前端点位数量，主干链路带宽要求分别为：保护站需要上下行各 300M 带宽；管理局需要 500M 带宽。主干链路租用运营商专线，直接连接到监测中心</w:t>
            </w:r>
            <w:r>
              <w:rPr>
                <w:rFonts w:hint="eastAsia" w:ascii="仿宋" w:hAnsi="仿宋" w:eastAsia="仿宋" w:cs="仿宋"/>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监测中心完善</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网络与安全设备完善</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在现有基础上增加网络与安全设备，达到平台所需安全保护等级。</w:t>
            </w:r>
          </w:p>
        </w:tc>
      </w:tr>
    </w:tbl>
    <w:p>
      <w:pPr>
        <w:pStyle w:val="4"/>
        <w:ind w:left="0" w:leftChars="0" w:firstLine="0" w:firstLineChars="0"/>
        <w:jc w:val="center"/>
        <w:rPr>
          <w:rFonts w:hint="default"/>
          <w:sz w:val="22"/>
          <w:szCs w:val="28"/>
          <w:lang w:val="en-US" w:eastAsia="zh-CN"/>
        </w:rPr>
      </w:pPr>
      <w:r>
        <w:rPr>
          <w:rStyle w:val="7"/>
          <w:rFonts w:hint="eastAsia" w:ascii="仿宋" w:hAnsi="仿宋" w:eastAsia="仿宋" w:cs="仿宋"/>
          <w:sz w:val="32"/>
          <w:szCs w:val="32"/>
          <w:lang w:val="en-US" w:eastAsia="zh-CN" w:bidi="ar"/>
        </w:rPr>
        <w:t>合同包二采购清单</w:t>
      </w:r>
    </w:p>
    <w:tbl>
      <w:tblPr>
        <w:tblStyle w:val="5"/>
        <w:tblW w:w="5830" w:type="pct"/>
        <w:tblInd w:w="-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704"/>
        <w:gridCol w:w="521"/>
        <w:gridCol w:w="382"/>
        <w:gridCol w:w="6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建设内容</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森林环境监测数据采集移动终端</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用于人工灵活监测不同位点的森林环境指标，并结合区内生态教育活动使用。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野外人为活动固定监控终端</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设置在重要的国家公园出入口和人为活动干扰强度较大的地段，并对前期项目建设中的人为活动监控形成补充。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野生动物固定监控终端</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设置在相对海拔较高、物种活动较频繁的区域，用于大型兽类活动的实时监控，并补充人工监测的频次和覆盖范围。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人工作业手持移动终端</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用于人工巡护、监测等野外作业，并补充前期建设的移动终端数量。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植物标本采集与鉴定用相机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用于野外植物监测与植被调查等进行高质量电子影像记录。</w:t>
            </w:r>
          </w:p>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野生动物摄影相机（含机身、长中短焦镜 头组）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包括：机身、1200mm、100-500mm、14-35mm 镜头组，用于野生动物影像拍摄。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PC数据录入设备</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用于人工录入历史数据及进行数据处理、系统管理等。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移动工作站</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用于在野外作业时从网络条件差或者无网环境下进行数据的保存和管理。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省级管理平台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搭建大熊猫国家公园省级管理平台 1 项，用于省级管理机构对片区监管、数据调度。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ODlhYTBiODEzOGQzZmZmODFmOWU5YjAxMzliNmEifQ=="/>
  </w:docVars>
  <w:rsids>
    <w:rsidRoot w:val="00000000"/>
    <w:rsid w:val="5CC3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ind w:left="420" w:leftChars="200"/>
    </w:pPr>
    <w:rPr>
      <w:b/>
      <w:color w:val="000000"/>
      <w:kern w:val="0"/>
      <w:sz w:val="24"/>
      <w:szCs w:val="24"/>
    </w:rPr>
  </w:style>
  <w:style w:type="paragraph" w:styleId="4">
    <w:name w:val="Body Text First Indent 2"/>
    <w:basedOn w:val="3"/>
    <w:qFormat/>
    <w:uiPriority w:val="0"/>
    <w:pPr>
      <w:spacing w:after="120"/>
      <w:ind w:firstLine="420" w:firstLineChars="200"/>
    </w:pPr>
    <w:rPr>
      <w:sz w:val="21"/>
    </w:rPr>
  </w:style>
  <w:style w:type="character" w:customStyle="1" w:styleId="7">
    <w:name w:val="font21"/>
    <w:basedOn w:val="6"/>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2024-05-30T09:21:06Z</dcterms:created>
  <dc:creator>Administrator</dc:creator>
  <cp:lastModifiedBy>小冷</cp:lastModifiedBy>
  <dcterms:modified xsi:type="dcterms:W3CDTF">2024-05-30T09:23:59Z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39A8706131404A9C8AE320A0A6CC64D7_12</vt:lpwstr>
  </property>
</Properties>
</file>