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版本号：SXHN-ZC2025-00520260225001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宁强县矿产资源规划（2026-2030年）编制项目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SXHN-ZC2025-005</w:t>
      </w:r>
      <w:r>
        <w:br/>
      </w:r>
      <w:r>
        <w:br/>
      </w:r>
      <w:r>
        <w:br/>
      </w:r>
    </w:p>
    <w:p>
      <w:pPr>
        <w:pStyle w:val="null3"/>
        <w:jc w:val="center"/>
        <w:outlineLvl w:val="2"/>
      </w:pPr>
      <w:r>
        <w:rPr>
          <w:rFonts w:ascii="仿宋_GB2312" w:hAnsi="仿宋_GB2312" w:cs="仿宋_GB2312" w:eastAsia="仿宋_GB2312"/>
          <w:sz w:val="28"/>
          <w:b/>
        </w:rPr>
        <w:t>宁强县自然资源局</w:t>
      </w:r>
    </w:p>
    <w:p>
      <w:pPr>
        <w:pStyle w:val="null3"/>
        <w:jc w:val="center"/>
        <w:outlineLvl w:val="2"/>
      </w:pPr>
      <w:r>
        <w:rPr>
          <w:rFonts w:ascii="仿宋_GB2312" w:hAnsi="仿宋_GB2312" w:cs="仿宋_GB2312" w:eastAsia="仿宋_GB2312"/>
          <w:sz w:val="28"/>
          <w:b/>
        </w:rPr>
        <w:t>陕西汇宁建设项目管理有限公司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陕西汇宁建设项目管理有限公司</w:t>
      </w:r>
      <w:r>
        <w:rPr>
          <w:rFonts w:ascii="仿宋_GB2312" w:hAnsi="仿宋_GB2312" w:cs="仿宋_GB2312" w:eastAsia="仿宋_GB2312"/>
        </w:rPr>
        <w:t>（以下简称“代理机构”）受</w:t>
      </w:r>
      <w:r>
        <w:rPr>
          <w:rFonts w:ascii="仿宋_GB2312" w:hAnsi="仿宋_GB2312" w:cs="仿宋_GB2312" w:eastAsia="仿宋_GB2312"/>
        </w:rPr>
        <w:t>宁强县自然资源局</w:t>
      </w:r>
      <w:r>
        <w:rPr>
          <w:rFonts w:ascii="仿宋_GB2312" w:hAnsi="仿宋_GB2312" w:cs="仿宋_GB2312" w:eastAsia="仿宋_GB2312"/>
        </w:rPr>
        <w:t>委托，拟对</w:t>
      </w:r>
      <w:r>
        <w:rPr>
          <w:rFonts w:ascii="仿宋_GB2312" w:hAnsi="仿宋_GB2312" w:cs="仿宋_GB2312" w:eastAsia="仿宋_GB2312"/>
        </w:rPr>
        <w:t>宁强县矿产资源规划（2026-2030年）编制项目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SXHN-ZC2025-005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宁强县矿产资源规划（2026-2030年）编制项目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自然资源部和陕西省自然资源厅的工作部署要求，紧密结合宁强县的矿产赋存特色和新常态要求，组织编制“十五五”矿产资源总体规划，旨在落实省市发展战略目标，统筹矿产资源勘查、开发利用和保护活动，推动矿业绿色发展，确保资源供给与经济社会发展需求相适应，资源开发利用与生态环境保护相协调，规划管控与管理改革相衔接，促进合理布局，整顿和规范矿产资源开发秩序，实现矿产资源合理利用，满足矿业经济发展对矿产规划的新要求。规划适用范围为宁强县全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采购包1（宁强县矿产资源规划（2026-2030年)编制项目）：属于专门面向中小企业采购。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财务状况报告：提供2024年度经审计的财务报告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税收缴纳证明：提交响应文件截止时间前一年内已缴纳的至少一个月的纳税证明或完税证明，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交响应文件截止时间前一年内已缴存的至少一个月的社会保障资金缴存单据或社保机构开具的社会保险参保缴费情况证明，单据或证明上应有社保机构或代收机构的公章或业务专用章，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5、无重大违法记录的书面声明：参加政府采购活动前 3 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6、履约承诺：提供具有履行合同所必需的设备和专业技术能力的承诺函。供应商需在项目电子化交易系统中按要求上传相应证明文件并进行电子签章。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7、法定代表人身份证明或法定代表人授权书：法定代表人授权书（附法定代表人、被授权人身份证复印件）及被授权人身份证（法定代表人直接参加磋商，须提供法定代表人身份证明及身份证原件）；供应商需在项目电子化交易系统中按要求上传相应证明文件并进行电子签章。</w:t>
      </w:r>
    </w:p>
    <w:p>
      <w:pPr>
        <w:pStyle w:val="null3"/>
      </w:pPr>
      <w:r>
        <w:rPr>
          <w:rFonts w:ascii="仿宋_GB2312" w:hAnsi="仿宋_GB2312" w:cs="仿宋_GB2312" w:eastAsia="仿宋_GB2312"/>
        </w:rPr>
        <w:t>8、企业信誉：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9、供应商关联关系声明：单位负责人为同一人或者存在直接控股、管理关系的不同供应商，不得参加同一合同项下的政府采购活动。供应商需在项目电子化交易系统中按要求上传相应证明文件并进行电子签章。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10、特定资格：项目负责人需要具备矿产类或地质类或规划类等专业的高级及以上职称，近一年内并在本单位缴纳至少连续三个月养老保险。供应商需在项目电子化交易系统中按要求上传相应证明文件并进行电子签章。</w:t>
      </w:r>
    </w:p>
    <w:p>
      <w:pPr>
        <w:pStyle w:val="null3"/>
      </w:pPr>
      <w:r>
        <w:rPr>
          <w:rFonts w:ascii="仿宋_GB2312" w:hAnsi="仿宋_GB2312" w:cs="仿宋_GB2312" w:eastAsia="仿宋_GB2312"/>
        </w:rPr>
        <w:t>11、本项目不接受联合体磋商：提供非联合体磋商声明。供应商需在项目电子化交易系统中按要求上传相应证明文件并进行电子签章。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宁强县羌州北路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赵明荣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0916-4226080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陕西汇宁建设项目管理有限公司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陕西省西安市雁塔区含光南路216号嘉祥大厦1号楼1802室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王永攀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029-88222381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代理服务费收费标准：参照国家计委颁布的《招标代理服务收费管理暂行办法》（计价格[2002]1980号）中的收费标准计取。中标人在领取中标（成交）通知书前一次性向代理机构支付全部费用。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宁强县自然资源局</w:t>
      </w:r>
      <w:r>
        <w:rPr>
          <w:rFonts w:ascii="仿宋_GB2312" w:hAnsi="仿宋_GB2312" w:cs="仿宋_GB2312" w:eastAsia="仿宋_GB2312"/>
        </w:rPr>
        <w:t>和</w:t>
      </w:r>
      <w:r>
        <w:rPr>
          <w:rFonts w:ascii="仿宋_GB2312" w:hAnsi="仿宋_GB2312" w:cs="仿宋_GB2312" w:eastAsia="仿宋_GB2312"/>
        </w:rPr>
        <w:t>陕西汇宁建设项目管理有限公司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陕西汇宁建设项目管理有限公司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陕西汇宁建设项目管理有限公司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按照竞争性磋商文件和合同条款执行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联系人：王永攀</w:t>
      </w:r>
    </w:p>
    <w:p>
      <w:pPr>
        <w:pStyle w:val="null3"/>
      </w:pPr>
      <w:r>
        <w:rPr>
          <w:rFonts w:ascii="仿宋_GB2312" w:hAnsi="仿宋_GB2312" w:cs="仿宋_GB2312" w:eastAsia="仿宋_GB2312"/>
        </w:rPr>
        <w:t>联系电话：029-88222381</w:t>
      </w:r>
    </w:p>
    <w:p>
      <w:pPr>
        <w:pStyle w:val="null3"/>
      </w:pPr>
      <w:r>
        <w:rPr>
          <w:rFonts w:ascii="仿宋_GB2312" w:hAnsi="仿宋_GB2312" w:cs="仿宋_GB2312" w:eastAsia="仿宋_GB2312"/>
        </w:rPr>
        <w:t>地址：陕西省西安市雁塔区含光南路216号嘉祥大厦1号楼1802室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自然资源部和陕西省自然资源厅的工作部署要求，紧密结合宁强县的矿产赋存特色和新常态要求，组织编制“十五五”矿产资源总体规划，旨在落实省市发展战略目标，统筹矿产资源勘查、开发利用和保护活动，推动矿业绿色发展，确保资源供给与经济社会发展需求相适应，资源开发利用与生态环境保护相协调，规划管控与管理改革相衔接，促进合理布局，整顿和规范矿产资源开发秩序，实现矿产资源合理利用，满足矿业经济发展对矿产规划的新要求。规划适用范围为宁强县全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宁强县矿产资源规划（2026-2030年）编制项目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标的名称：宁强县矿产资源规划（2026-2030年）编制项目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left"/>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spacing w:before="255" w:after="255"/>
              <w:ind w:left="285"/>
              <w:jc w:val="left"/>
              <w:outlineLvl w:val="1"/>
            </w:pPr>
            <w:r>
              <w:rPr>
                <w:rFonts w:ascii="仿宋_GB2312" w:hAnsi="仿宋_GB2312" w:cs="仿宋_GB2312" w:eastAsia="仿宋_GB2312"/>
                <w:sz w:val="24"/>
                <w:b/>
              </w:rPr>
              <w:t>根据自然资源部和陕西省自然资源厅的工作部署要求，</w:t>
            </w:r>
            <w:r>
              <w:rPr>
                <w:rFonts w:ascii="仿宋_GB2312" w:hAnsi="仿宋_GB2312" w:cs="仿宋_GB2312" w:eastAsia="仿宋_GB2312"/>
                <w:sz w:val="24"/>
                <w:b/>
              </w:rPr>
              <w:t>紧密结合</w:t>
            </w:r>
            <w:r>
              <w:rPr>
                <w:rFonts w:ascii="仿宋_GB2312" w:hAnsi="仿宋_GB2312" w:cs="仿宋_GB2312" w:eastAsia="仿宋_GB2312"/>
                <w:sz w:val="24"/>
                <w:b/>
              </w:rPr>
              <w:t>宁强县</w:t>
            </w:r>
            <w:r>
              <w:rPr>
                <w:rFonts w:ascii="仿宋_GB2312" w:hAnsi="仿宋_GB2312" w:cs="仿宋_GB2312" w:eastAsia="仿宋_GB2312"/>
                <w:sz w:val="24"/>
                <w:b/>
              </w:rPr>
              <w:t>的矿产赋存特色和新常态要求，组织编制</w:t>
            </w:r>
            <w:r>
              <w:rPr>
                <w:rFonts w:ascii="仿宋_GB2312" w:hAnsi="仿宋_GB2312" w:cs="仿宋_GB2312" w:eastAsia="仿宋_GB2312"/>
                <w:sz w:val="24"/>
                <w:b/>
              </w:rPr>
              <w:t>“十五五”矿产资源总体规划，旨在落实省市发</w:t>
            </w:r>
            <w:r>
              <w:rPr>
                <w:rFonts w:ascii="仿宋_GB2312" w:hAnsi="仿宋_GB2312" w:cs="仿宋_GB2312" w:eastAsia="仿宋_GB2312"/>
                <w:sz w:val="24"/>
                <w:b/>
              </w:rPr>
              <w:t>展战略目标，统筹矿产资源勘查、开发利用和保护活动，推动矿业绿色发展，确保资源供给与经济社会发展需求相适应，资源开发利用与生态环境保护相协调，规划管控与管理改革相衔接，促进合理布局，整顿和规范矿产资源开发秩序，实现矿产资源合理利用，满足矿业经济发展对矿产规划的新要求。规划适用范围为</w:t>
            </w:r>
            <w:r>
              <w:rPr>
                <w:rFonts w:ascii="仿宋_GB2312" w:hAnsi="仿宋_GB2312" w:cs="仿宋_GB2312" w:eastAsia="仿宋_GB2312"/>
                <w:sz w:val="24"/>
                <w:b/>
              </w:rPr>
              <w:t>宁强县</w:t>
            </w:r>
            <w:r>
              <w:rPr>
                <w:rFonts w:ascii="仿宋_GB2312" w:hAnsi="仿宋_GB2312" w:cs="仿宋_GB2312" w:eastAsia="仿宋_GB2312"/>
                <w:sz w:val="24"/>
                <w:b/>
              </w:rPr>
              <w:t>全域。</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二、</w:t>
            </w:r>
            <w:r>
              <w:rPr>
                <w:rFonts w:ascii="仿宋_GB2312" w:hAnsi="仿宋_GB2312" w:cs="仿宋_GB2312" w:eastAsia="仿宋_GB2312"/>
                <w:sz w:val="24"/>
                <w:b/>
              </w:rPr>
              <w:t>服务内容</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1）按照自然资源部、陕西省自然资源厅和汉中市自然资源局相关工作部署，评估上一轮矿产资源规划实施情况，开展本轮规划编制基础数据整理、调研和矿产资源开发规划修编等研究。</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2）编制规划大纲、编写规划文本、编制规划附表（含规划区块）及系列图件，广泛征求意见和组织论证，做好本级规划与上级规划衔接以及与相关规划的对接。</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3）按照矿产资源规划数据库标准和建设指南的要求，在规划编制的同时，同步推进、同步完成矿产资源规划数据库建设。</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4）协助采购人开展矿产资源规划的编制指导和审批。</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5）整合矿产资源规划成果，建立统一的矿产资源规划数据库。</w:t>
            </w:r>
          </w:p>
          <w:p>
            <w:pPr>
              <w:pStyle w:val="null3"/>
              <w:ind w:firstLine="360"/>
              <w:jc w:val="left"/>
            </w:pPr>
            <w:r>
              <w:rPr>
                <w:rFonts w:ascii="仿宋_GB2312" w:hAnsi="仿宋_GB2312" w:cs="仿宋_GB2312" w:eastAsia="仿宋_GB2312"/>
                <w:sz w:val="24"/>
                <w:b/>
              </w:rPr>
              <w:t>三、工作依据</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1）《中华人民共和国矿产资源法》、《土地管理法》、《森林法》、《草原法》等相关法律法规；</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2）《自然资源部办公厅关于开展“十四五”矿产资源规划总结评估及“十五五”规划编制工作的通知》（自然资办发〔2025〕19号）；</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3）《陕西省自然资源厅关于全面开展“十四五”矿产资源规划总结及“十五五”规划编制工作的通知》（陕自然资矿保发〔2025〕751号）；</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4）宁强县国民经济和社会发展第十五个五年规划纲要；</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5）宁强县国土空间总体规划；</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6）上级矿产资源规划；</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7）《自然资源部办公厅关于印发&lt;“十五五”省级矿产资源规划编制技术规程&gt;和&lt;“十五五”市县级矿产资源规划编制指南&gt;的通知》（自然资办函〔2025〕2255号）；</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8）《矿产资源规划数据库建设指南》；</w:t>
            </w:r>
          </w:p>
          <w:p>
            <w:pPr>
              <w:pStyle w:val="null3"/>
              <w:ind w:firstLine="360"/>
              <w:jc w:val="left"/>
            </w:pPr>
            <w:r>
              <w:rPr>
                <w:rFonts w:ascii="仿宋_GB2312" w:hAnsi="仿宋_GB2312" w:cs="仿宋_GB2312" w:eastAsia="仿宋_GB2312"/>
                <w:sz w:val="24"/>
                <w:b/>
              </w:rPr>
              <w:t>四、成果提交</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1）规划文本（10套）；</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2）规划附表（10套）；</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3）规划附图（10套）；</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4）规划编制说明（10套）；</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5）宁强县矿产资源规划（2026—2030年）数据库（1套）；</w:t>
            </w:r>
          </w:p>
          <w:p>
            <w:pPr>
              <w:pStyle w:val="null3"/>
              <w:ind w:firstLine="420"/>
            </w:pPr>
            <w:r>
              <w:rPr>
                <w:rFonts w:ascii="仿宋_GB2312" w:hAnsi="仿宋_GB2312" w:cs="仿宋_GB2312" w:eastAsia="仿宋_GB2312"/>
                <w:sz w:val="28"/>
                <w:b/>
              </w:rPr>
              <w:t>五、</w:t>
            </w:r>
            <w:r>
              <w:rPr>
                <w:rFonts w:ascii="仿宋_GB2312" w:hAnsi="仿宋_GB2312" w:cs="仿宋_GB2312" w:eastAsia="仿宋_GB2312"/>
                <w:sz w:val="24"/>
                <w:b/>
              </w:rPr>
              <w:t>质量保证：</w:t>
            </w:r>
          </w:p>
          <w:p>
            <w:pPr>
              <w:pStyle w:val="null3"/>
              <w:ind w:firstLine="600"/>
              <w:jc w:val="both"/>
            </w:pPr>
            <w:r>
              <w:rPr>
                <w:rFonts w:ascii="仿宋_GB2312" w:hAnsi="仿宋_GB2312" w:cs="仿宋_GB2312" w:eastAsia="仿宋_GB2312"/>
                <w:sz w:val="24"/>
              </w:rPr>
              <w:t>1、</w:t>
            </w:r>
            <w:r>
              <w:rPr>
                <w:rFonts w:ascii="仿宋_GB2312" w:hAnsi="仿宋_GB2312" w:cs="仿宋_GB2312" w:eastAsia="仿宋_GB2312"/>
                <w:sz w:val="24"/>
              </w:rPr>
              <w:t>成交</w:t>
            </w:r>
            <w:r>
              <w:rPr>
                <w:rFonts w:ascii="仿宋_GB2312" w:hAnsi="仿宋_GB2312" w:cs="仿宋_GB2312" w:eastAsia="仿宋_GB2312"/>
                <w:sz w:val="24"/>
              </w:rPr>
              <w:t>单位所提供的项目成果必须经采购人审核验收，符合采购人要求，并达到技术指标先进、质量可靠、配置合理，满足</w:t>
            </w:r>
            <w:r>
              <w:rPr>
                <w:rFonts w:ascii="仿宋_GB2312" w:hAnsi="仿宋_GB2312" w:cs="仿宋_GB2312" w:eastAsia="仿宋_GB2312"/>
                <w:sz w:val="24"/>
              </w:rPr>
              <w:t>磋商</w:t>
            </w:r>
            <w:r>
              <w:rPr>
                <w:rFonts w:ascii="仿宋_GB2312" w:hAnsi="仿宋_GB2312" w:cs="仿宋_GB2312" w:eastAsia="仿宋_GB2312"/>
                <w:sz w:val="24"/>
              </w:rPr>
              <w:t>文件要求。</w:t>
            </w:r>
          </w:p>
          <w:p>
            <w:pPr>
              <w:pStyle w:val="null3"/>
              <w:ind w:firstLine="600"/>
              <w:jc w:val="both"/>
            </w:pPr>
            <w:r>
              <w:rPr>
                <w:rFonts w:ascii="仿宋_GB2312" w:hAnsi="仿宋_GB2312" w:cs="仿宋_GB2312" w:eastAsia="仿宋_GB2312"/>
                <w:sz w:val="24"/>
              </w:rPr>
              <w:t>2、服务的质量必须符合国家标准和有关规范，确保服务达到最佳使用要求。</w:t>
            </w:r>
            <w:r>
              <w:rPr>
                <w:rFonts w:ascii="仿宋_GB2312" w:hAnsi="仿宋_GB2312" w:cs="仿宋_GB2312" w:eastAsia="仿宋_GB2312"/>
                <w:sz w:val="21"/>
              </w:rPr>
              <w:t xml:space="preserve">  </w:t>
            </w:r>
          </w:p>
          <w:p>
            <w:pPr>
              <w:pStyle w:val="null3"/>
              <w:ind w:firstLine="482"/>
              <w:jc w:val="both"/>
            </w:pPr>
            <w:r>
              <w:rPr>
                <w:rFonts w:ascii="仿宋_GB2312" w:hAnsi="仿宋_GB2312" w:cs="仿宋_GB2312" w:eastAsia="仿宋_GB2312"/>
                <w:sz w:val="24"/>
                <w:b/>
              </w:rPr>
              <w:t>六、合同实施：</w:t>
            </w:r>
            <w:r>
              <w:rPr>
                <w:rFonts w:ascii="仿宋_GB2312" w:hAnsi="仿宋_GB2312" w:cs="仿宋_GB2312" w:eastAsia="仿宋_GB2312"/>
                <w:sz w:val="24"/>
              </w:rPr>
              <w:t xml:space="preserve"> </w:t>
            </w:r>
          </w:p>
          <w:p>
            <w:pPr>
              <w:pStyle w:val="null3"/>
              <w:ind w:firstLine="600"/>
              <w:jc w:val="both"/>
            </w:pPr>
            <w:r>
              <w:rPr>
                <w:rFonts w:ascii="仿宋_GB2312" w:hAnsi="仿宋_GB2312" w:cs="仿宋_GB2312" w:eastAsia="仿宋_GB2312"/>
                <w:sz w:val="24"/>
              </w:rPr>
              <w:t>1、</w:t>
            </w:r>
            <w:r>
              <w:rPr>
                <w:rFonts w:ascii="仿宋_GB2312" w:hAnsi="仿宋_GB2312" w:cs="仿宋_GB2312" w:eastAsia="仿宋_GB2312"/>
                <w:sz w:val="24"/>
              </w:rPr>
              <w:t>成交</w:t>
            </w:r>
            <w:r>
              <w:rPr>
                <w:rFonts w:ascii="仿宋_GB2312" w:hAnsi="仿宋_GB2312" w:cs="仿宋_GB2312" w:eastAsia="仿宋_GB2312"/>
                <w:sz w:val="24"/>
              </w:rPr>
              <w:t>单位应在合同签订后</w:t>
            </w:r>
            <w:r>
              <w:rPr>
                <w:rFonts w:ascii="仿宋_GB2312" w:hAnsi="仿宋_GB2312" w:cs="仿宋_GB2312" w:eastAsia="仿宋_GB2312"/>
                <w:sz w:val="24"/>
              </w:rPr>
              <w:t>7个工作日内安排人员（项目组成人员简历表所列）与采购人就项目实施等工作进行安排、部署。</w:t>
            </w:r>
          </w:p>
          <w:p>
            <w:pPr>
              <w:pStyle w:val="null3"/>
              <w:ind w:firstLine="600"/>
              <w:jc w:val="both"/>
            </w:pPr>
            <w:r>
              <w:rPr>
                <w:rFonts w:ascii="仿宋_GB2312" w:hAnsi="仿宋_GB2312" w:cs="仿宋_GB2312" w:eastAsia="仿宋_GB2312"/>
                <w:sz w:val="24"/>
              </w:rPr>
              <w:t>2</w:t>
            </w:r>
            <w:r>
              <w:rPr>
                <w:rFonts w:ascii="仿宋_GB2312" w:hAnsi="仿宋_GB2312" w:cs="仿宋_GB2312" w:eastAsia="仿宋_GB2312"/>
                <w:sz w:val="24"/>
              </w:rPr>
              <w:t>、若未能在服务期内完成合同规定的义务，由此对采购人造成的延误和一切损失，由中标单位承担和赔偿。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根据本次服务要求配置。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供应商应按采购需求配置履行服务所需的设施设备，以便提高服务质量及效率。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签订合同之日起至规划通过市自然资源局的技术审查和成果验收。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符合国家相关行业规范、标准及采购人要求。 服务的质量必须符合国家标准和有关规范，确保服务达到采购人对项目的具体要求。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本合同签定生效后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采购人在中标人提交完成规划预审稿、且通过专家组评审后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采购人在中标人根据评审意见修改完善设计方案完成规划送审稿的审查、规划数据库建设，发布实施后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执行磋商文件和合同规定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违约责任： 1、按《中华人民共和国民法典》、《中华人民共和国政府采购法》中的相关条款执行。 2、按合同要求提供服务或服务质量不能满足技术要求，采购人有权终止合同，并对供方违约行为进行追究，同时按《政府采购法》的有关规定进行处罚。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已缴纳的至少一个月的纳税证明或完税证明，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已缴存的至少一个月的社会保障资金缴存单据或社保机构开具的社会保险参保缴费情况证明，单据或证明上应有社保机构或代收机构的公章或业务专用章，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项目负责人需要具备矿产类或地质类或规划类等专业的高级及以上职称，近一年内并在本单位缴纳至少连续三个月养老保险。供应商需在项目电子化交易系统中按要求上传相应证明文件并进行电子签章。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服务内容及服务邀请应答表 10-供应商类似项目业绩一览表.docx 中小企业声明函 商务应答表 供应商承诺书.docx 响应文件封面 12-服务方案.docx 残疾人福利性单位声明函 11-相关资格证明材料.docx 标的清单 响应函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法定代表人（负责人）或其授权代表人的签字齐全并加盖公章。</w:t>
            </w:r>
          </w:p>
        </w:tc>
        <w:tc>
          <w:tcPr>
            <w:tcW w:type="dxa" w:w="1661"/>
          </w:tcPr>
          <w:p>
            <w:pPr>
              <w:pStyle w:val="null3"/>
            </w:pPr>
            <w:r>
              <w:rPr>
                <w:rFonts w:ascii="仿宋_GB2312" w:hAnsi="仿宋_GB2312" w:cs="仿宋_GB2312" w:eastAsia="仿宋_GB2312"/>
              </w:rPr>
              <w:t>服务内容及服务邀请应答表 10-供应商类似项目业绩一览表.docx 中小企业声明函 商务应答表 供应商承诺书.docx 响应文件封面 12-服务方案.docx 残疾人福利性单位声明函 11-相关资格证明材料.docx 标的清单 响应函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符合采购文件中的实质性条款要求，且未含有采购人不能接受的附加条件。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标的清单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服务内容及服务邀请应答表 10-供应商类似项目业绩一览表.docx 中小企业声明函 商务应答表 供应商承诺书.docx 响应文件封面 12-服务方案.docx 残疾人福利性单位声明函 11-相关资格证明材料.docx 标的清单 响应函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供应商针对本项目提供完整的项目实施方案，内容包含：①对本项目的建设背景、目标和内容理解分析，能充分体现项目需求；②内控管理制度；③实施进度计划；④应急保障措施； 二、评审标准 ①完整性：方案须全面，对评审内容中的各项要求有详细描述及说明； ②可实施性：切合本项目实际情况，实施步骤清晰、科学、合理； ③针对性：方案能够紧扣项目实际情况，内容全面、科学合理、详细具体。 三、赋分标准 ①对本项目的建设背景、建设目标和内容理解分析，能充分体现项目功能需求；每完全满足一个评审标准得分2分，针对评审标准存在有不合理处的得1分；内容与本项目无关或未提供的得0分。 ②内控管理制度；每完全满足一个评审标准得分2分，针对评审标准存在有不合理处的得1分；内容与本项目无关或未提供的得0分。 ③实施进度计划；每完全满足一个评审标准得分2分，针对评审标准存在有不合理处的得1分；内容与本项目无关或未提供的得0分。 ④应急保障措施；每完全满足一个评审标准得分2分，针对评审标准存在有不合理处的得1分；内容与本项目无关或未提供的得0分。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技术目标及内容</w:t>
            </w:r>
          </w:p>
        </w:tc>
        <w:tc>
          <w:tcPr>
            <w:tcW w:type="dxa" w:w="2492"/>
          </w:tcPr>
          <w:p>
            <w:pPr>
              <w:pStyle w:val="null3"/>
            </w:pPr>
            <w:r>
              <w:rPr>
                <w:rFonts w:ascii="仿宋_GB2312" w:hAnsi="仿宋_GB2312" w:cs="仿宋_GB2312" w:eastAsia="仿宋_GB2312"/>
              </w:rPr>
              <w:t>一、评审内容 本项目实施过程中技术目标及内容包括①规划实施评估研究，确保规划实施评估数据完整，问题分析深入，经验总结到位；②重点区域矿产勘查开发与布局优化研究，确保区域划分科学、勘查开发布局合理，产业联动规划完整；③规划管控政策研究，针对矿产资源开发利用中的突出问题（如乱采滥挖、生态修复滞后等），制定针对性（如政策与问题匹配）、可行性（政策内容符合国家法律法规及陕西省相关要求，且考虑经济社会发展实际，政策落地实施条件成熟）、政策保障措施（如资金保障、监管机制、考核评价机制等），保障措施覆盖政策实施全流程；④矿业绿色高质量发展研究，如绿色矿山建设规划、资源循环利用方案、生态修复规划；⑤数据库建设重点工作，数据录入完整、数据更新及时、数据库易用。 二、评审标准 ①完整性：方案须全面，对评审内容中的各项要求有详细描述及说明； ②可实施性：切合本项目实际情况，实施步骤清晰、科学、合理； ③针对性：方案能够紧扣项目实际情况，内容全面、科学合理、详细具体。 三、赋分标准 ①规划实施评估研究，问题分析深入，经验总结到位；每完全满足一个评审标准得分2.0分，针对评审标准存在有不合理处的得1分；内容与本项目无关或未提供的得0分； ②重点区域矿产勘查开发与布局优化研究，确保区域划分科学、勘查开发布局合理，产业联动规划完整；每完全满足一个评审标准得分2.0分，针对评审标准存在有不合理处的得1分；内容与本项目无关或未提供的得0分； ③规划管控政策研究，针对矿产资源开发利用中的突出问题（如乱采滥挖、生态修复滞后等），制定针对性（如政策与问题匹配）、可行性（政策内容符合国家法律法规及陕西省相关要求，且考虑经济社会发展实际，政策落地实施条件成熟）、政策保障措施（如资金保障、监管机制、考核评价机制等），保障措施覆盖政策实施全流程；每完全满足一个评审标准得分2.0分，针对评审标准存在有不合理处的得1分；内容与本项目无关或未提供的得0分； ④矿业绿色高质量发展研究，如绿色矿山建设规划、资源循环利用方案、生态修复规划；每完全满足一个评审标准得分2.0分，针对评审标准存在有不合理处的得1分；内容与本项目无关或未提供的得0分； ⑤数据库建设重点工作，数据录入完整、数据更新及时、数据库易用。每完全满足一个评审标准得分2.0分，针对评审标准存在有不合理处的得1分；内容与本项目无关或未提供的得0分；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技术难点及解决方案</w:t>
            </w:r>
          </w:p>
        </w:tc>
        <w:tc>
          <w:tcPr>
            <w:tcW w:type="dxa" w:w="2492"/>
          </w:tcPr>
          <w:p>
            <w:pPr>
              <w:pStyle w:val="null3"/>
            </w:pPr>
            <w:r>
              <w:rPr>
                <w:rFonts w:ascii="仿宋_GB2312" w:hAnsi="仿宋_GB2312" w:cs="仿宋_GB2312" w:eastAsia="仿宋_GB2312"/>
              </w:rPr>
              <w:t>一、评审内容 根据项目实际情况全面分析本项目技术难点，并对其技术难点给出科学合理的解决方案； 二、评审标准 ①完整性：方案须全面，对评审内容中的各项要求有详细描述及说明； ②可实施性：切合本项目实际情况，实施步骤清晰、科学、合理； ③针对性：方案能够紧扣项目实际情况，内容全面、科学合理、详细具体。 三、赋分标准 根据项目实际情况全面分析本项目技术难点，并对其技术难点给出科学合理的解决方案；每完全满足一个评审标准得分2分，针对评审标准存在有不合理处的得1分；内容与本项目无关或未提供的得0分；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根据项目实际需求，提供质量保证方案。内容包含①质量保证目标及任务；②质量保证方法及措施； 二、评审标准 ①完整性：方案须全面，对评审内容中的各项要求有详细描述及说明； ②可实施性：切合本项目实际情况，实施步骤清晰、科学、合理； ③针对性：方案能够紧扣项目实际情况，内容全面、科学合理、详细具体。 三、赋分标准 ①质量保证目标及任务：每完全满足一个评审标准得1.0分，针对评审标准存在有不合理处的得0.5分；内容与本项目无关或未提供的得0分； ②质量保证方法及措施：每完全满足一个评审标准得1.0分，针对评审标准存在有不合理处的得0.5分；内容与本项目无关或未提供的得0分；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项目负责人近5年内（2020年1月1日至磋商截止时间前）从事过矿产资源规划或其他规划编制相关工作业绩，业绩有一项得1分，满分5分； （注：项目负责人需提供相应证书复印件或扫描件，项目负责人业绩证明材料不限于中标通知书、业绩合同、成果文件等须体现项目负责人姓名，项目负责人在本单位的社保缴纳证明，证明材料需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（1）人员基本要求（5分）：开展矿产资源规划实施评估的相关专业技术人员不少于5名（不包括项目负责人），满足基本要求得5分，每少1人扣1分扣完为止。 （注：磋商响应文件中需提供以上人员相应证书复印件或扫描件及相关人员在本单位的社保缴纳证明，退休人员提供合同证明文件，专业类别应涵盖地质、测绘、规划、环境等专业，证明材料需加盖供应商公章。） （2）项目实施团队（4分）：根据本项目实施需求配备技术人员中（5人基础上，不包括项目负责人）每增加1名中级及以上职称的技术人员加1分，本项满分4分。 （注：磋商响应文件中需提供以上人员相应证书复印件或扫描件及相关人员在本单位的社保缴纳证明，退休人员提供合同证明文件，证明材料需加盖供应商公章。）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根据本项目提出有其他实质性承诺和合理化建议，内容包括：1.后续服务承诺；2.合理化建议。 二、评审标准 1.完整性：内容必须全面，对评审内容中的各项要求有详细描述； 2.可实施性：切合本项目实际情况，提出步骤清晰、合理的内容； 3.针对性：方案能够紧扣项目实际情况，内容科学合理。 三、赋分标准（满分6分） 1.服务承诺：每完全满足一个评审标准得1分，满分3分； 2.合理化建议：每完全满足一个评审标准得1分，满分3分。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供应商提供2020年1月1日至磋商截止时间前类似项目业绩，每份计1分，计满4分为止； 注：投标人需提供服务合同（含首页、服务内容、签字盖章页）复印件或扫描件并加盖公章，否则业绩不予认可。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详见附件：10-供应商类似项目业绩一览表.docx</w:t>
      </w:r>
    </w:p>
    <w:p>
      <w:pPr>
        <w:pStyle w:val="null3"/>
        <w:ind w:firstLine="960"/>
      </w:pPr>
      <w:r>
        <w:rPr>
          <w:rFonts w:ascii="仿宋_GB2312" w:hAnsi="仿宋_GB2312" w:cs="仿宋_GB2312" w:eastAsia="仿宋_GB2312"/>
        </w:rPr>
        <w:t>详见附件：11-相关资格证明材料.docx</w:t>
      </w:r>
    </w:p>
    <w:p>
      <w:pPr>
        <w:pStyle w:val="null3"/>
        <w:ind w:firstLine="960"/>
      </w:pPr>
      <w:r>
        <w:rPr>
          <w:rFonts w:ascii="仿宋_GB2312" w:hAnsi="仿宋_GB2312" w:cs="仿宋_GB2312" w:eastAsia="仿宋_GB2312"/>
        </w:rPr>
        <w:t>详见附件：12-服务方案.docx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