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32069">
      <w:pPr>
        <w:pStyle w:val="3"/>
        <w:numPr>
          <w:ilvl w:val="0"/>
          <w:numId w:val="1"/>
        </w:numPr>
        <w:jc w:val="center"/>
        <w:rPr>
          <w:rFonts w:hint="eastAsia" w:ascii="仿宋" w:hAnsi="仿宋" w:eastAsia="仿宋" w:cs="仿宋"/>
          <w:bCs/>
          <w:sz w:val="36"/>
          <w:szCs w:val="36"/>
        </w:rPr>
      </w:pPr>
      <w:r>
        <w:rPr>
          <w:rFonts w:hint="eastAsia" w:ascii="仿宋" w:hAnsi="仿宋" w:eastAsia="仿宋" w:cs="仿宋"/>
          <w:bCs/>
          <w:sz w:val="36"/>
          <w:szCs w:val="36"/>
        </w:rPr>
        <w:t>合同主要条款</w:t>
      </w:r>
    </w:p>
    <w:p w14:paraId="00A41DC9">
      <w:pPr>
        <w:rPr>
          <w:rFonts w:hint="eastAsia" w:ascii="仿宋" w:hAnsi="仿宋" w:eastAsia="仿宋" w:cs="仿宋"/>
          <w:bCs/>
          <w:sz w:val="36"/>
          <w:szCs w:val="36"/>
        </w:rPr>
      </w:pPr>
    </w:p>
    <w:p w14:paraId="3D4E73BD">
      <w:pPr>
        <w:jc w:val="center"/>
        <w:rPr>
          <w:rFonts w:hint="eastAsia" w:ascii="Calibri" w:hAnsi="Calibri"/>
          <w:b/>
          <w:bCs/>
          <w:kern w:val="2"/>
          <w:sz w:val="21"/>
          <w:szCs w:val="24"/>
        </w:rPr>
      </w:pPr>
      <w:r>
        <w:rPr>
          <w:rFonts w:hint="eastAsia" w:ascii="Calibri" w:hAnsi="Calibri"/>
          <w:b/>
          <w:bCs/>
          <w:kern w:val="2"/>
          <w:sz w:val="22"/>
          <w:szCs w:val="28"/>
        </w:rPr>
        <w:t>（本合同仅供参考，以实际签订合同为准）</w:t>
      </w:r>
    </w:p>
    <w:p w14:paraId="23AAB344">
      <w:pPr>
        <w:keepNext w:val="0"/>
        <w:keepLines w:val="0"/>
        <w:pageBreakBefore w:val="0"/>
        <w:kinsoku/>
        <w:wordWrap/>
        <w:overflowPunct/>
        <w:topLinePunct w:val="0"/>
        <w:bidi w:val="0"/>
        <w:spacing w:line="560" w:lineRule="exact"/>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一、合同格式</w:t>
      </w:r>
    </w:p>
    <w:p w14:paraId="701CC669">
      <w:pPr>
        <w:keepNext w:val="0"/>
        <w:keepLines w:val="0"/>
        <w:pageBreakBefore w:val="0"/>
        <w:widowControl/>
        <w:kinsoku/>
        <w:wordWrap/>
        <w:overflowPunct/>
        <w:topLinePunct w:val="0"/>
        <w:bidi w:val="0"/>
        <w:spacing w:line="560" w:lineRule="exact"/>
        <w:ind w:right="-226" w:rightChars="-94" w:firstLine="480" w:firstLineChars="200"/>
        <w:jc w:val="left"/>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2"/>
          <w:szCs w:val="24"/>
          <w:highlight w:val="none"/>
          <w:u w:val="none" w:color="auto"/>
          <w:lang w:eastAsia="zh-CN"/>
        </w:rPr>
        <w:t>宁强县矿产资源规划（2026-2030年）编制项目</w:t>
      </w:r>
      <w:r>
        <w:rPr>
          <w:rFonts w:hint="eastAsia" w:ascii="仿宋" w:hAnsi="仿宋" w:eastAsia="仿宋" w:cs="仿宋"/>
          <w:color w:val="auto"/>
          <w:kern w:val="2"/>
          <w:szCs w:val="24"/>
          <w:highlight w:val="none"/>
          <w:u w:val="none" w:color="auto"/>
        </w:rPr>
        <w:t>(</w:t>
      </w:r>
      <w:r>
        <w:rPr>
          <w:rFonts w:hint="eastAsia" w:ascii="仿宋" w:hAnsi="仿宋" w:eastAsia="仿宋" w:cs="仿宋"/>
          <w:color w:val="auto"/>
          <w:kern w:val="2"/>
          <w:szCs w:val="24"/>
          <w:highlight w:val="none"/>
          <w:u w:val="none" w:color="auto"/>
          <w:lang w:val="en-US" w:eastAsia="zh-CN"/>
        </w:rPr>
        <w:t>项目</w:t>
      </w:r>
      <w:r>
        <w:rPr>
          <w:rFonts w:hint="eastAsia" w:ascii="仿宋" w:hAnsi="仿宋" w:eastAsia="仿宋" w:cs="仿宋"/>
          <w:color w:val="auto"/>
          <w:kern w:val="2"/>
          <w:szCs w:val="24"/>
          <w:highlight w:val="none"/>
          <w:u w:val="none" w:color="auto"/>
        </w:rPr>
        <w:t>编号：</w:t>
      </w:r>
      <w:r>
        <w:rPr>
          <w:rFonts w:hint="eastAsia" w:ascii="仿宋" w:hAnsi="仿宋" w:eastAsia="仿宋" w:cs="仿宋"/>
          <w:color w:val="auto"/>
          <w:kern w:val="2"/>
          <w:szCs w:val="24"/>
          <w:highlight w:val="none"/>
          <w:u w:val="none" w:color="auto"/>
          <w:lang w:val="en-US" w:eastAsia="zh-CN"/>
        </w:rPr>
        <w:t xml:space="preserve">    </w:t>
      </w:r>
      <w:r>
        <w:rPr>
          <w:rFonts w:hint="eastAsia" w:ascii="仿宋" w:hAnsi="仿宋" w:eastAsia="仿宋" w:cs="仿宋"/>
          <w:color w:val="auto"/>
          <w:kern w:val="2"/>
          <w:szCs w:val="24"/>
          <w:highlight w:val="none"/>
          <w:u w:val="none" w:color="auto"/>
        </w:rPr>
        <w:t>)，在</w:t>
      </w:r>
      <w:r>
        <w:rPr>
          <w:rFonts w:hint="eastAsia" w:ascii="仿宋" w:hAnsi="仿宋" w:eastAsia="仿宋" w:cs="仿宋"/>
          <w:color w:val="auto"/>
          <w:kern w:val="2"/>
          <w:szCs w:val="24"/>
          <w:highlight w:val="none"/>
          <w:u w:val="none" w:color="auto"/>
          <w:lang w:val="en-US" w:eastAsia="zh-CN"/>
        </w:rPr>
        <w:t>宁强</w:t>
      </w:r>
      <w:r>
        <w:rPr>
          <w:rFonts w:hint="eastAsia" w:ascii="仿宋" w:hAnsi="仿宋" w:eastAsia="仿宋" w:cs="仿宋"/>
          <w:color w:val="auto"/>
          <w:kern w:val="2"/>
          <w:szCs w:val="24"/>
          <w:highlight w:val="none"/>
          <w:u w:val="none" w:color="auto"/>
          <w:lang w:eastAsia="zh-CN"/>
        </w:rPr>
        <w:t>县财政局</w:t>
      </w:r>
      <w:r>
        <w:rPr>
          <w:rFonts w:hint="eastAsia" w:ascii="仿宋" w:hAnsi="仿宋" w:eastAsia="仿宋" w:cs="仿宋"/>
          <w:color w:val="auto"/>
          <w:kern w:val="2"/>
          <w:szCs w:val="24"/>
          <w:highlight w:val="none"/>
          <w:u w:val="none" w:color="auto"/>
        </w:rPr>
        <w:t>的监督管理下</w:t>
      </w:r>
      <w:r>
        <w:rPr>
          <w:rFonts w:hint="eastAsia" w:ascii="仿宋" w:hAnsi="仿宋" w:eastAsia="仿宋" w:cs="仿宋"/>
          <w:color w:val="auto"/>
          <w:kern w:val="0"/>
          <w:szCs w:val="24"/>
          <w:highlight w:val="none"/>
          <w:u w:val="none" w:color="auto"/>
        </w:rPr>
        <w:t>，由</w:t>
      </w:r>
      <w:r>
        <w:rPr>
          <w:rFonts w:hint="eastAsia" w:ascii="仿宋" w:hAnsi="仿宋" w:eastAsia="仿宋" w:cs="仿宋"/>
          <w:color w:val="auto"/>
          <w:kern w:val="0"/>
          <w:szCs w:val="24"/>
          <w:highlight w:val="none"/>
          <w:u w:val="none" w:color="auto"/>
          <w:lang w:eastAsia="zh-CN"/>
        </w:rPr>
        <w:t>陕西汇宁建设项目管理有限公司</w:t>
      </w:r>
      <w:r>
        <w:rPr>
          <w:rFonts w:hint="eastAsia" w:ascii="仿宋" w:hAnsi="仿宋" w:eastAsia="仿宋" w:cs="仿宋"/>
          <w:color w:val="auto"/>
          <w:kern w:val="0"/>
          <w:szCs w:val="24"/>
          <w:highlight w:val="none"/>
          <w:u w:val="none" w:color="auto"/>
        </w:rPr>
        <w:t>组织</w:t>
      </w:r>
      <w:r>
        <w:rPr>
          <w:rFonts w:hint="eastAsia" w:ascii="仿宋" w:hAnsi="仿宋" w:eastAsia="仿宋" w:cs="仿宋"/>
          <w:color w:val="auto"/>
          <w:kern w:val="0"/>
          <w:szCs w:val="24"/>
          <w:highlight w:val="none"/>
          <w:u w:val="none" w:color="auto"/>
          <w:lang w:val="en-US" w:eastAsia="zh-CN"/>
        </w:rPr>
        <w:t>竞争性磋商</w:t>
      </w:r>
      <w:r>
        <w:rPr>
          <w:rFonts w:hint="eastAsia" w:ascii="仿宋" w:hAnsi="仿宋" w:eastAsia="仿宋" w:cs="仿宋"/>
          <w:color w:val="auto"/>
          <w:kern w:val="0"/>
          <w:szCs w:val="24"/>
          <w:highlight w:val="none"/>
          <w:u w:val="none" w:color="auto"/>
        </w:rPr>
        <w:t>招标。</w:t>
      </w:r>
      <w:r>
        <w:rPr>
          <w:rFonts w:hint="eastAsia" w:ascii="仿宋" w:hAnsi="仿宋" w:eastAsia="仿宋" w:cs="仿宋"/>
          <w:color w:val="auto"/>
          <w:kern w:val="2"/>
          <w:szCs w:val="24"/>
          <w:highlight w:val="none"/>
          <w:u w:val="none" w:color="auto"/>
          <w:lang w:eastAsia="zh-CN"/>
        </w:rPr>
        <w:t>宁强县自然资源局</w:t>
      </w:r>
      <w:r>
        <w:rPr>
          <w:rFonts w:hint="eastAsia" w:ascii="仿宋" w:hAnsi="仿宋" w:eastAsia="仿宋" w:cs="仿宋"/>
          <w:color w:val="auto"/>
          <w:kern w:val="0"/>
          <w:szCs w:val="24"/>
          <w:highlight w:val="none"/>
          <w:u w:val="none" w:color="auto"/>
        </w:rPr>
        <w:t>(</w:t>
      </w:r>
      <w:r>
        <w:rPr>
          <w:rFonts w:hint="eastAsia" w:ascii="仿宋" w:hAnsi="仿宋" w:eastAsia="仿宋" w:cs="仿宋"/>
          <w:color w:val="auto"/>
          <w:kern w:val="0"/>
          <w:szCs w:val="24"/>
          <w:highlight w:val="none"/>
        </w:rPr>
        <w:t>以下简称“甲方”)确定 (中标单位名称) （以下简称“乙方”）为</w:t>
      </w:r>
      <w:r>
        <w:rPr>
          <w:rFonts w:hint="eastAsia" w:ascii="仿宋" w:hAnsi="仿宋" w:eastAsia="仿宋" w:cs="仿宋"/>
          <w:color w:val="auto"/>
          <w:kern w:val="0"/>
          <w:szCs w:val="24"/>
          <w:highlight w:val="none"/>
          <w:lang w:val="en-US" w:eastAsia="zh-CN"/>
        </w:rPr>
        <w:t>车成交</w:t>
      </w:r>
      <w:r>
        <w:rPr>
          <w:rFonts w:hint="eastAsia" w:ascii="仿宋" w:hAnsi="仿宋" w:eastAsia="仿宋" w:cs="仿宋"/>
          <w:color w:val="auto"/>
          <w:kern w:val="0"/>
          <w:szCs w:val="24"/>
          <w:highlight w:val="none"/>
        </w:rPr>
        <w:t>单位。</w:t>
      </w:r>
    </w:p>
    <w:p w14:paraId="3F03E89D">
      <w:pPr>
        <w:keepNext w:val="0"/>
        <w:keepLines w:val="0"/>
        <w:pageBreakBefore w:val="0"/>
        <w:kinsoku/>
        <w:wordWrap/>
        <w:overflowPunct/>
        <w:topLinePunct w:val="0"/>
        <w:bidi w:val="0"/>
        <w:spacing w:line="560" w:lineRule="exact"/>
        <w:ind w:right="240" w:rightChars="100"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依据《中华人民共和国</w:t>
      </w:r>
      <w:r>
        <w:rPr>
          <w:rFonts w:hint="eastAsia" w:ascii="仿宋" w:hAnsi="仿宋" w:eastAsia="仿宋" w:cs="仿宋"/>
          <w:color w:val="auto"/>
          <w:kern w:val="0"/>
          <w:szCs w:val="24"/>
          <w:highlight w:val="none"/>
          <w:lang w:eastAsia="zh-CN"/>
        </w:rPr>
        <w:t>民法典</w:t>
      </w:r>
      <w:r>
        <w:rPr>
          <w:rFonts w:hint="eastAsia" w:ascii="仿宋" w:hAnsi="仿宋" w:eastAsia="仿宋" w:cs="仿宋"/>
          <w:color w:val="auto"/>
          <w:kern w:val="0"/>
          <w:szCs w:val="24"/>
          <w:highlight w:val="none"/>
        </w:rPr>
        <w:t>》和《中华人民共和国政府采购法》《中华人民共和国政府采购法实施条例》，甲方通过公开招标采购</w:t>
      </w:r>
      <w:r>
        <w:rPr>
          <w:rFonts w:hint="eastAsia" w:ascii="仿宋" w:hAnsi="仿宋" w:eastAsia="仿宋" w:cs="仿宋"/>
          <w:color w:val="auto"/>
          <w:kern w:val="0"/>
          <w:szCs w:val="24"/>
          <w:highlight w:val="none"/>
          <w:u w:val="single"/>
        </w:rPr>
        <w:t xml:space="preserve">（服务名称） </w:t>
      </w:r>
      <w:r>
        <w:rPr>
          <w:rFonts w:hint="eastAsia" w:ascii="仿宋" w:hAnsi="仿宋" w:eastAsia="仿宋" w:cs="仿宋"/>
          <w:color w:val="auto"/>
          <w:kern w:val="0"/>
          <w:szCs w:val="24"/>
          <w:highlight w:val="none"/>
        </w:rPr>
        <w:t>，并接受了乙方以价格</w:t>
      </w:r>
      <w:r>
        <w:rPr>
          <w:rFonts w:hint="eastAsia" w:ascii="仿宋" w:hAnsi="仿宋" w:eastAsia="仿宋" w:cs="仿宋"/>
          <w:color w:val="auto"/>
          <w:kern w:val="0"/>
          <w:szCs w:val="24"/>
          <w:highlight w:val="none"/>
          <w:u w:val="single"/>
        </w:rPr>
        <w:t>(中标金额大写)</w:t>
      </w:r>
      <w:r>
        <w:rPr>
          <w:rFonts w:hint="eastAsia" w:ascii="仿宋" w:hAnsi="仿宋" w:eastAsia="仿宋" w:cs="仿宋"/>
          <w:color w:val="auto"/>
          <w:kern w:val="0"/>
          <w:szCs w:val="24"/>
          <w:highlight w:val="none"/>
        </w:rPr>
        <w:t>(以下简称“合同价”)提供的</w:t>
      </w:r>
      <w:r>
        <w:rPr>
          <w:rFonts w:hint="eastAsia" w:ascii="仿宋" w:hAnsi="仿宋" w:eastAsia="仿宋" w:cs="仿宋"/>
          <w:color w:val="auto"/>
          <w:kern w:val="0"/>
          <w:szCs w:val="24"/>
          <w:highlight w:val="none"/>
          <w:lang w:val="en-US" w:eastAsia="zh-CN"/>
        </w:rPr>
        <w:t>全部</w:t>
      </w:r>
      <w:r>
        <w:rPr>
          <w:rFonts w:hint="eastAsia" w:ascii="仿宋" w:hAnsi="仿宋" w:eastAsia="仿宋" w:cs="仿宋"/>
          <w:color w:val="auto"/>
          <w:kern w:val="0"/>
          <w:szCs w:val="24"/>
          <w:highlight w:val="none"/>
        </w:rPr>
        <w:t>服务。</w:t>
      </w:r>
    </w:p>
    <w:p w14:paraId="2E27A538">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bookmarkStart w:id="0" w:name="_Toc193126879"/>
      <w:bookmarkStart w:id="1" w:name="_Toc188808831"/>
      <w:bookmarkStart w:id="2" w:name="_Toc193187095"/>
      <w:bookmarkStart w:id="3" w:name="_Toc194663916"/>
      <w:r>
        <w:rPr>
          <w:rFonts w:hint="eastAsia" w:ascii="仿宋" w:hAnsi="仿宋" w:eastAsia="仿宋" w:cs="仿宋"/>
          <w:color w:val="auto"/>
          <w:kern w:val="2"/>
          <w:szCs w:val="24"/>
          <w:highlight w:val="none"/>
        </w:rPr>
        <w:t>本合同在此声明如下：</w:t>
      </w:r>
    </w:p>
    <w:p w14:paraId="05487748">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1、本合同中的词语和术语的含义与合同条款中定义的相同。</w:t>
      </w:r>
    </w:p>
    <w:p w14:paraId="65208A86">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2、下述文件是本合同的一部分，并与本合同一起阅读和解释：</w:t>
      </w:r>
    </w:p>
    <w:p w14:paraId="5F71889C">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1）合同条款</w:t>
      </w:r>
    </w:p>
    <w:p w14:paraId="09784B16">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2）合同条款附件</w:t>
      </w:r>
    </w:p>
    <w:p w14:paraId="6FE1AAD5">
      <w:pPr>
        <w:keepNext w:val="0"/>
        <w:keepLines w:val="0"/>
        <w:pageBreakBefore w:val="0"/>
        <w:kinsoku/>
        <w:wordWrap/>
        <w:overflowPunct/>
        <w:topLinePunct w:val="0"/>
        <w:bidi w:val="0"/>
        <w:spacing w:line="560" w:lineRule="exact"/>
        <w:ind w:firstLine="840" w:firstLineChars="350"/>
        <w:textAlignment w:val="auto"/>
        <w:rPr>
          <w:rFonts w:hint="eastAsia" w:ascii="仿宋" w:hAnsi="仿宋" w:eastAsia="仿宋" w:cs="仿宋"/>
          <w:color w:val="auto"/>
          <w:kern w:val="2"/>
          <w:szCs w:val="24"/>
          <w:highlight w:val="none"/>
          <w:lang w:val="en-US" w:eastAsia="zh-CN"/>
        </w:rPr>
      </w:pPr>
      <w:r>
        <w:rPr>
          <w:rFonts w:hint="eastAsia" w:ascii="仿宋" w:hAnsi="仿宋" w:eastAsia="仿宋" w:cs="仿宋"/>
          <w:color w:val="auto"/>
          <w:kern w:val="2"/>
          <w:szCs w:val="24"/>
          <w:highlight w:val="none"/>
        </w:rPr>
        <w:t>附件1—</w:t>
      </w:r>
      <w:r>
        <w:rPr>
          <w:rFonts w:hint="eastAsia" w:ascii="仿宋" w:hAnsi="仿宋" w:eastAsia="仿宋" w:cs="仿宋"/>
          <w:color w:val="auto"/>
          <w:kern w:val="2"/>
          <w:szCs w:val="24"/>
          <w:highlight w:val="none"/>
          <w:lang w:val="en-US" w:eastAsia="zh-CN"/>
        </w:rPr>
        <w:t>服务方案</w:t>
      </w:r>
    </w:p>
    <w:p w14:paraId="0AEC1298">
      <w:pPr>
        <w:keepNext w:val="0"/>
        <w:keepLines w:val="0"/>
        <w:pageBreakBefore w:val="0"/>
        <w:kinsoku/>
        <w:wordWrap/>
        <w:overflowPunct/>
        <w:topLinePunct w:val="0"/>
        <w:bidi w:val="0"/>
        <w:spacing w:line="560" w:lineRule="exact"/>
        <w:ind w:firstLine="840" w:firstLineChars="35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附件2—</w:t>
      </w:r>
      <w:r>
        <w:rPr>
          <w:rFonts w:hint="eastAsia" w:ascii="仿宋" w:hAnsi="仿宋" w:eastAsia="仿宋" w:cs="仿宋"/>
          <w:color w:val="auto"/>
          <w:kern w:val="2"/>
          <w:szCs w:val="24"/>
          <w:highlight w:val="none"/>
          <w:lang w:val="en-US" w:eastAsia="zh-CN"/>
        </w:rPr>
        <w:t>服务</w:t>
      </w:r>
      <w:r>
        <w:rPr>
          <w:rFonts w:hint="eastAsia" w:ascii="仿宋" w:hAnsi="仿宋" w:eastAsia="仿宋" w:cs="仿宋"/>
          <w:color w:val="auto"/>
          <w:kern w:val="2"/>
          <w:szCs w:val="24"/>
          <w:highlight w:val="none"/>
        </w:rPr>
        <w:t>承诺</w:t>
      </w:r>
    </w:p>
    <w:p w14:paraId="72E5419B">
      <w:pPr>
        <w:keepNext w:val="0"/>
        <w:keepLines w:val="0"/>
        <w:pageBreakBefore w:val="0"/>
        <w:kinsoku/>
        <w:wordWrap/>
        <w:overflowPunct/>
        <w:topLinePunct w:val="0"/>
        <w:bidi w:val="0"/>
        <w:spacing w:line="560" w:lineRule="exact"/>
        <w:ind w:firstLine="840" w:firstLineChars="350"/>
        <w:textAlignment w:val="auto"/>
        <w:rPr>
          <w:rFonts w:hint="eastAsia" w:ascii="仿宋" w:hAnsi="仿宋" w:eastAsia="仿宋" w:cs="仿宋"/>
          <w:color w:val="auto"/>
          <w:kern w:val="2"/>
          <w:szCs w:val="24"/>
          <w:highlight w:val="none"/>
          <w:lang w:val="en-US" w:eastAsia="zh-CN"/>
        </w:rPr>
      </w:pPr>
      <w:r>
        <w:rPr>
          <w:rFonts w:hint="eastAsia" w:ascii="仿宋" w:hAnsi="仿宋" w:eastAsia="仿宋" w:cs="仿宋"/>
          <w:color w:val="auto"/>
          <w:kern w:val="2"/>
          <w:szCs w:val="24"/>
          <w:highlight w:val="none"/>
        </w:rPr>
        <w:t>附件3—</w:t>
      </w:r>
      <w:r>
        <w:rPr>
          <w:rFonts w:hint="eastAsia" w:ascii="仿宋" w:hAnsi="仿宋" w:eastAsia="仿宋" w:cs="仿宋"/>
          <w:color w:val="auto"/>
          <w:kern w:val="2"/>
          <w:szCs w:val="24"/>
          <w:highlight w:val="none"/>
          <w:lang w:val="en-US" w:eastAsia="zh-CN"/>
        </w:rPr>
        <w:t>合理化建议</w:t>
      </w:r>
    </w:p>
    <w:p w14:paraId="3C61DFBA">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3）</w:t>
      </w:r>
      <w:r>
        <w:rPr>
          <w:rFonts w:hint="eastAsia" w:ascii="仿宋" w:hAnsi="仿宋" w:eastAsia="仿宋" w:cs="仿宋"/>
          <w:color w:val="auto"/>
          <w:kern w:val="2"/>
          <w:szCs w:val="24"/>
          <w:highlight w:val="none"/>
          <w:lang w:val="en-US" w:eastAsia="zh-CN"/>
        </w:rPr>
        <w:t>成交</w:t>
      </w:r>
      <w:r>
        <w:rPr>
          <w:rFonts w:hint="eastAsia" w:ascii="仿宋" w:hAnsi="仿宋" w:eastAsia="仿宋" w:cs="仿宋"/>
          <w:color w:val="auto"/>
          <w:kern w:val="2"/>
          <w:szCs w:val="24"/>
          <w:highlight w:val="none"/>
        </w:rPr>
        <w:t>通知书</w:t>
      </w:r>
    </w:p>
    <w:p w14:paraId="6DCE8F7D">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4）</w:t>
      </w:r>
      <w:r>
        <w:rPr>
          <w:rFonts w:hint="eastAsia" w:ascii="仿宋" w:hAnsi="仿宋" w:eastAsia="仿宋" w:cs="仿宋"/>
          <w:color w:val="auto"/>
          <w:kern w:val="2"/>
          <w:szCs w:val="24"/>
          <w:highlight w:val="none"/>
          <w:lang w:val="en-US" w:eastAsia="zh-CN"/>
        </w:rPr>
        <w:t>采购</w:t>
      </w:r>
      <w:r>
        <w:rPr>
          <w:rFonts w:hint="eastAsia" w:ascii="仿宋" w:hAnsi="仿宋" w:eastAsia="仿宋" w:cs="仿宋"/>
          <w:color w:val="auto"/>
          <w:kern w:val="2"/>
          <w:szCs w:val="24"/>
          <w:highlight w:val="none"/>
        </w:rPr>
        <w:t>文件</w:t>
      </w:r>
    </w:p>
    <w:p w14:paraId="68D2A7A1">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5）</w:t>
      </w:r>
      <w:r>
        <w:rPr>
          <w:rFonts w:hint="eastAsia" w:ascii="仿宋" w:hAnsi="仿宋" w:eastAsia="仿宋" w:cs="仿宋"/>
          <w:color w:val="auto"/>
          <w:kern w:val="2"/>
          <w:szCs w:val="24"/>
          <w:highlight w:val="none"/>
          <w:lang w:val="en-US" w:eastAsia="zh-CN"/>
        </w:rPr>
        <w:t>响应</w:t>
      </w:r>
      <w:r>
        <w:rPr>
          <w:rFonts w:hint="eastAsia" w:ascii="仿宋" w:hAnsi="仿宋" w:eastAsia="仿宋" w:cs="仿宋"/>
          <w:color w:val="auto"/>
          <w:kern w:val="2"/>
          <w:szCs w:val="24"/>
          <w:highlight w:val="none"/>
        </w:rPr>
        <w:t>文件</w:t>
      </w:r>
    </w:p>
    <w:p w14:paraId="69DCFF73">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3、考虑到甲方将按照本合同向乙方支付货款，乙方在此保证全部按照合同的规定向甲方提供服务，并修补缺陷。</w:t>
      </w:r>
    </w:p>
    <w:p w14:paraId="354F3213">
      <w:pPr>
        <w:keepNext w:val="0"/>
        <w:keepLines w:val="0"/>
        <w:pageBreakBefore w:val="0"/>
        <w:kinsoku/>
        <w:wordWrap/>
        <w:overflowPunct/>
        <w:topLinePunct w:val="0"/>
        <w:bidi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4、考虑到乙方提供的服务，甲方在此保证按照合同规定的时间和方式向乙方支付合同价或其他按合同规定应支付的金额。</w:t>
      </w:r>
    </w:p>
    <w:p w14:paraId="03A2FB08">
      <w:pPr>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5、付款方式： </w:t>
      </w:r>
    </w:p>
    <w:p w14:paraId="67225107">
      <w:pPr>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(1)本合同签定生效</w:t>
      </w:r>
      <w:r>
        <w:rPr>
          <w:rFonts w:hint="eastAsia" w:ascii="仿宋" w:hAnsi="仿宋" w:eastAsia="仿宋" w:cs="仿宋"/>
          <w:color w:val="auto"/>
          <w:kern w:val="2"/>
          <w:sz w:val="24"/>
          <w:szCs w:val="24"/>
          <w:lang w:val="en-US" w:eastAsia="zh-CN"/>
        </w:rPr>
        <w:t>后30个工作日内，</w:t>
      </w:r>
      <w:r>
        <w:rPr>
          <w:rFonts w:hint="eastAsia" w:ascii="仿宋" w:hAnsi="仿宋" w:eastAsia="仿宋" w:cs="仿宋"/>
          <w:color w:val="auto"/>
          <w:kern w:val="2"/>
          <w:sz w:val="24"/>
          <w:szCs w:val="24"/>
        </w:rPr>
        <w:t>向中标人支付30％合同款项；</w:t>
      </w:r>
    </w:p>
    <w:p w14:paraId="3C47EA0F">
      <w:pPr>
        <w:pageBreakBefore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kern w:val="2"/>
          <w:sz w:val="24"/>
          <w:szCs w:val="24"/>
        </w:rPr>
      </w:pPr>
      <w:r>
        <w:rPr>
          <w:rFonts w:hint="eastAsia" w:ascii="仿宋" w:hAnsi="仿宋" w:eastAsia="仿宋" w:cs="仿宋"/>
          <w:color w:val="auto"/>
          <w:kern w:val="2"/>
          <w:sz w:val="24"/>
          <w:szCs w:val="24"/>
        </w:rPr>
        <w:t>(2）采购人在中标人提交完成规划预审稿、</w:t>
      </w:r>
      <w:r>
        <w:rPr>
          <w:rFonts w:hint="eastAsia" w:ascii="仿宋" w:hAnsi="仿宋" w:eastAsia="仿宋" w:cs="仿宋"/>
          <w:color w:val="auto"/>
          <w:kern w:val="2"/>
          <w:sz w:val="24"/>
          <w:szCs w:val="24"/>
          <w:lang w:val="en-US" w:eastAsia="zh-CN"/>
        </w:rPr>
        <w:t>且</w:t>
      </w:r>
      <w:r>
        <w:rPr>
          <w:rFonts w:hint="eastAsia" w:ascii="仿宋" w:hAnsi="仿宋" w:eastAsia="仿宋" w:cs="仿宋"/>
          <w:color w:val="auto"/>
          <w:kern w:val="2"/>
          <w:sz w:val="24"/>
          <w:szCs w:val="24"/>
        </w:rPr>
        <w:t>通过专家组评审后30个工作日内，采购人向中标人支付40％合同款项。</w:t>
      </w:r>
    </w:p>
    <w:p w14:paraId="7CEE2579">
      <w:pPr>
        <w:pageBreakBefore w:val="0"/>
        <w:kinsoku/>
        <w:wordWrap/>
        <w:overflowPunct/>
        <w:topLinePunct w:val="0"/>
        <w:autoSpaceDE/>
        <w:autoSpaceDN/>
        <w:bidi w:val="0"/>
        <w:spacing w:line="360" w:lineRule="auto"/>
        <w:ind w:firstLine="480" w:firstLineChars="200"/>
        <w:textAlignment w:val="auto"/>
        <w:rPr>
          <w:rFonts w:hint="default" w:ascii="仿宋" w:hAnsi="仿宋" w:eastAsia="仿宋" w:cs="仿宋"/>
          <w:color w:val="auto"/>
          <w:kern w:val="2"/>
          <w:szCs w:val="24"/>
          <w:highlight w:val="none"/>
          <w:lang w:val="en-US"/>
        </w:rPr>
      </w:pPr>
      <w:r>
        <w:rPr>
          <w:rFonts w:hint="eastAsia" w:ascii="仿宋" w:hAnsi="仿宋" w:eastAsia="仿宋" w:cs="仿宋"/>
          <w:color w:val="auto"/>
          <w:kern w:val="2"/>
          <w:sz w:val="24"/>
          <w:szCs w:val="24"/>
        </w:rPr>
        <w:t>(3）采购人在中标人根据评审意见修改完善设计方案完成规</w:t>
      </w:r>
      <w:r>
        <w:rPr>
          <w:rFonts w:hint="eastAsia" w:ascii="仿宋" w:hAnsi="仿宋" w:eastAsia="仿宋" w:cs="仿宋"/>
          <w:color w:val="auto"/>
          <w:kern w:val="2"/>
          <w:sz w:val="24"/>
          <w:szCs w:val="24"/>
          <w:lang w:val="en-US" w:eastAsia="zh-CN"/>
        </w:rPr>
        <w:t>划</w:t>
      </w:r>
      <w:r>
        <w:rPr>
          <w:rFonts w:hint="eastAsia" w:ascii="仿宋" w:hAnsi="仿宋" w:eastAsia="仿宋" w:cs="仿宋"/>
          <w:color w:val="auto"/>
          <w:kern w:val="2"/>
          <w:sz w:val="24"/>
          <w:szCs w:val="24"/>
        </w:rPr>
        <w:t>送审稿的审查、规划数据库建设，发布实施后30日内，采购人向</w:t>
      </w:r>
      <w:r>
        <w:rPr>
          <w:rFonts w:hint="eastAsia" w:ascii="仿宋" w:hAnsi="仿宋" w:eastAsia="仿宋" w:cs="仿宋"/>
          <w:color w:val="auto"/>
          <w:kern w:val="2"/>
          <w:sz w:val="24"/>
          <w:szCs w:val="24"/>
          <w:lang w:val="en-US" w:eastAsia="zh-CN"/>
        </w:rPr>
        <w:t>中</w:t>
      </w:r>
      <w:r>
        <w:rPr>
          <w:rFonts w:hint="eastAsia" w:ascii="仿宋" w:hAnsi="仿宋" w:eastAsia="仿宋" w:cs="仿宋"/>
          <w:color w:val="auto"/>
          <w:kern w:val="2"/>
          <w:sz w:val="24"/>
          <w:szCs w:val="24"/>
        </w:rPr>
        <w:t>标人支付30％合同款项。</w:t>
      </w:r>
    </w:p>
    <w:p w14:paraId="25A3B60D">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color w:val="auto"/>
          <w:kern w:val="2"/>
          <w:szCs w:val="24"/>
          <w:highlight w:val="none"/>
          <w:u w:val="none" w:color="auto"/>
        </w:rPr>
      </w:pPr>
      <w:r>
        <w:rPr>
          <w:rFonts w:hint="eastAsia" w:ascii="仿宋" w:hAnsi="仿宋" w:eastAsia="仿宋" w:cs="仿宋"/>
          <w:color w:val="auto"/>
          <w:kern w:val="2"/>
          <w:szCs w:val="24"/>
          <w:highlight w:val="none"/>
        </w:rPr>
        <w:t>6、</w:t>
      </w:r>
      <w:r>
        <w:rPr>
          <w:rFonts w:hint="eastAsia" w:ascii="仿宋" w:hAnsi="仿宋" w:eastAsia="仿宋" w:cs="仿宋"/>
          <w:color w:val="auto"/>
          <w:kern w:val="2"/>
          <w:szCs w:val="24"/>
          <w:highlight w:val="none"/>
          <w:u w:val="none" w:color="auto"/>
          <w:lang w:val="en-US" w:eastAsia="zh-CN"/>
        </w:rPr>
        <w:t>服务期限</w:t>
      </w:r>
      <w:r>
        <w:rPr>
          <w:rFonts w:hint="eastAsia" w:ascii="仿宋" w:hAnsi="仿宋" w:eastAsia="仿宋" w:cs="仿宋"/>
          <w:color w:val="auto"/>
          <w:kern w:val="2"/>
          <w:szCs w:val="24"/>
          <w:highlight w:val="none"/>
          <w:u w:val="none" w:color="auto"/>
        </w:rPr>
        <w:t>：</w:t>
      </w:r>
      <w:r>
        <w:rPr>
          <w:rFonts w:hint="eastAsia" w:ascii="仿宋" w:hAnsi="仿宋" w:eastAsia="仿宋" w:cs="仿宋"/>
          <w:color w:val="auto"/>
          <w:kern w:val="2"/>
          <w:szCs w:val="24"/>
          <w:highlight w:val="none"/>
          <w:u w:val="single" w:color="auto"/>
          <w:lang w:val="en-US" w:eastAsia="zh-CN"/>
        </w:rPr>
        <w:t xml:space="preserve">                            </w:t>
      </w:r>
      <w:r>
        <w:rPr>
          <w:rFonts w:hint="eastAsia" w:ascii="仿宋" w:hAnsi="仿宋" w:eastAsia="仿宋" w:cs="仿宋"/>
          <w:color w:val="auto"/>
          <w:kern w:val="2"/>
          <w:szCs w:val="24"/>
          <w:highlight w:val="none"/>
          <w:u w:val="none" w:color="auto"/>
        </w:rPr>
        <w:t>。</w:t>
      </w:r>
    </w:p>
    <w:p w14:paraId="19988D61">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color w:val="auto"/>
          <w:kern w:val="2"/>
          <w:szCs w:val="24"/>
          <w:highlight w:val="none"/>
          <w:u w:val="none" w:color="auto"/>
          <w:lang w:val="en-US" w:eastAsia="zh-CN"/>
        </w:rPr>
      </w:pPr>
      <w:r>
        <w:rPr>
          <w:rFonts w:hint="eastAsia" w:ascii="仿宋" w:hAnsi="仿宋" w:eastAsia="仿宋" w:cs="仿宋"/>
          <w:color w:val="auto"/>
          <w:kern w:val="2"/>
          <w:szCs w:val="24"/>
          <w:highlight w:val="none"/>
          <w:u w:val="none" w:color="auto"/>
        </w:rPr>
        <w:t xml:space="preserve">   地点：</w:t>
      </w:r>
      <w:r>
        <w:rPr>
          <w:rFonts w:hint="eastAsia" w:ascii="仿宋" w:hAnsi="仿宋" w:eastAsia="仿宋" w:cs="仿宋"/>
          <w:color w:val="auto"/>
          <w:kern w:val="2"/>
          <w:szCs w:val="24"/>
          <w:highlight w:val="none"/>
          <w:u w:val="none" w:color="auto"/>
          <w:lang w:val="en-US" w:eastAsia="zh-CN"/>
        </w:rPr>
        <w:t>指定地点。</w:t>
      </w:r>
    </w:p>
    <w:p w14:paraId="2E8B3498">
      <w:pPr>
        <w:keepNext w:val="0"/>
        <w:keepLines w:val="0"/>
        <w:pageBreakBefore w:val="0"/>
        <w:kinsoku/>
        <w:wordWrap/>
        <w:overflowPunct/>
        <w:topLinePunct w:val="0"/>
        <w:bidi w:val="0"/>
        <w:adjustRightInd w:val="0"/>
        <w:spacing w:line="560" w:lineRule="exact"/>
        <w:ind w:firstLine="480" w:firstLineChars="2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7、本合同一式伍份，其中，</w:t>
      </w:r>
      <w:r>
        <w:rPr>
          <w:rFonts w:hint="eastAsia" w:ascii="仿宋" w:hAnsi="仿宋" w:eastAsia="仿宋" w:cs="仿宋"/>
          <w:color w:val="auto"/>
          <w:kern w:val="2"/>
          <w:szCs w:val="24"/>
          <w:highlight w:val="none"/>
          <w:lang w:val="en-US" w:eastAsia="zh-CN"/>
        </w:rPr>
        <w:t>甲</w:t>
      </w:r>
      <w:r>
        <w:rPr>
          <w:rFonts w:hint="eastAsia" w:ascii="仿宋" w:hAnsi="仿宋" w:eastAsia="仿宋" w:cs="仿宋"/>
          <w:color w:val="auto"/>
          <w:kern w:val="2"/>
          <w:szCs w:val="24"/>
          <w:highlight w:val="none"/>
        </w:rPr>
        <w:t>方贰份，</w:t>
      </w:r>
      <w:r>
        <w:rPr>
          <w:rFonts w:hint="eastAsia" w:ascii="仿宋" w:hAnsi="仿宋" w:eastAsia="仿宋" w:cs="仿宋"/>
          <w:color w:val="auto"/>
          <w:kern w:val="2"/>
          <w:szCs w:val="24"/>
          <w:highlight w:val="none"/>
          <w:lang w:val="en-US" w:eastAsia="zh-CN"/>
        </w:rPr>
        <w:t>乙</w:t>
      </w:r>
      <w:r>
        <w:rPr>
          <w:rFonts w:hint="eastAsia" w:ascii="仿宋" w:hAnsi="仿宋" w:eastAsia="仿宋" w:cs="仿宋"/>
          <w:color w:val="auto"/>
          <w:kern w:val="2"/>
          <w:szCs w:val="24"/>
          <w:highlight w:val="none"/>
        </w:rPr>
        <w:t>方贰份，采购代理机构备案壹份。</w:t>
      </w:r>
    </w:p>
    <w:p w14:paraId="612A1F09">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8、本合同由买卖双方共同签字盖章之日起生效。</w:t>
      </w:r>
    </w:p>
    <w:p w14:paraId="0B695DD6">
      <w:pPr>
        <w:keepNext w:val="0"/>
        <w:keepLines w:val="0"/>
        <w:pageBreakBefore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color w:val="auto"/>
          <w:kern w:val="0"/>
          <w:szCs w:val="24"/>
          <w:highlight w:val="none"/>
        </w:rPr>
      </w:pP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4B1071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0A15E148">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甲方名称： </w:t>
            </w:r>
          </w:p>
          <w:p w14:paraId="446F154D">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地    址： </w:t>
            </w:r>
          </w:p>
          <w:p w14:paraId="308C0218">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邮    编：</w:t>
            </w:r>
          </w:p>
          <w:p w14:paraId="6B9BBD95">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电    话：</w:t>
            </w:r>
          </w:p>
          <w:p w14:paraId="5C8EEB9F">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传    真：</w:t>
            </w:r>
          </w:p>
          <w:p w14:paraId="5CAD7E56">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p>
          <w:p w14:paraId="00102648">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p>
          <w:p w14:paraId="105D4C2A">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代表签字：</w:t>
            </w:r>
          </w:p>
          <w:p w14:paraId="4DA5FD54">
            <w:pPr>
              <w:keepNext w:val="0"/>
              <w:keepLines w:val="0"/>
              <w:pageBreakBefore w:val="0"/>
              <w:kinsoku/>
              <w:wordWrap/>
              <w:overflowPunct/>
              <w:topLinePunct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盖章：</w:t>
            </w:r>
          </w:p>
          <w:p w14:paraId="2690BCA6">
            <w:pPr>
              <w:keepNext w:val="0"/>
              <w:keepLines w:val="0"/>
              <w:pageBreakBefore w:val="0"/>
              <w:kinsoku/>
              <w:wordWrap/>
              <w:overflowPunct/>
              <w:topLinePunct w:val="0"/>
              <w:autoSpaceDE w:val="0"/>
              <w:autoSpaceDN w:val="0"/>
              <w:bidi w:val="0"/>
              <w:spacing w:line="560" w:lineRule="exact"/>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                年  月  日      </w:t>
            </w:r>
          </w:p>
        </w:tc>
        <w:tc>
          <w:tcPr>
            <w:tcW w:w="3936" w:type="dxa"/>
            <w:noWrap w:val="0"/>
            <w:tcMar>
              <w:top w:w="113" w:type="dxa"/>
              <w:left w:w="113" w:type="dxa"/>
              <w:bottom w:w="113" w:type="dxa"/>
              <w:right w:w="113" w:type="dxa"/>
            </w:tcMar>
            <w:vAlign w:val="top"/>
          </w:tcPr>
          <w:p w14:paraId="7A5C630E">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乙方名称：</w:t>
            </w:r>
          </w:p>
          <w:p w14:paraId="64E92661">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地    址： </w:t>
            </w:r>
          </w:p>
          <w:p w14:paraId="55B6C87A">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邮    编： </w:t>
            </w:r>
          </w:p>
          <w:p w14:paraId="25D56693">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电    话： </w:t>
            </w:r>
          </w:p>
          <w:p w14:paraId="25FD8DB9">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传    真：  </w:t>
            </w:r>
          </w:p>
          <w:p w14:paraId="0706AFD6">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开户银行：</w:t>
            </w:r>
          </w:p>
          <w:p w14:paraId="7DE1D067">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帐    号：</w:t>
            </w:r>
          </w:p>
          <w:p w14:paraId="604716CE">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代表签字</w:t>
            </w:r>
          </w:p>
          <w:p w14:paraId="5EDED4FC">
            <w:pPr>
              <w:keepNext w:val="0"/>
              <w:keepLines w:val="0"/>
              <w:pageBreakBefore w:val="0"/>
              <w:kinsoku/>
              <w:wordWrap/>
              <w:overflowPunct/>
              <w:topLinePunct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盖章：</w:t>
            </w:r>
          </w:p>
          <w:p w14:paraId="239385E0">
            <w:pPr>
              <w:keepNext w:val="0"/>
              <w:keepLines w:val="0"/>
              <w:pageBreakBefore w:val="0"/>
              <w:kinsoku/>
              <w:wordWrap/>
              <w:overflowPunct/>
              <w:topLinePunct w:val="0"/>
              <w:bidi w:val="0"/>
              <w:spacing w:line="560" w:lineRule="exact"/>
              <w:ind w:left="240" w:leftChars="100"/>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             年  月  日</w:t>
            </w:r>
          </w:p>
        </w:tc>
      </w:tr>
      <w:bookmarkEnd w:id="0"/>
      <w:bookmarkEnd w:id="1"/>
      <w:bookmarkEnd w:id="2"/>
      <w:bookmarkEnd w:id="3"/>
    </w:tbl>
    <w:p w14:paraId="63EA978D">
      <w:pPr>
        <w:keepNext w:val="0"/>
        <w:keepLines w:val="0"/>
        <w:pageBreakBefore w:val="0"/>
        <w:kinsoku/>
        <w:wordWrap/>
        <w:overflowPunct/>
        <w:topLinePunct w:val="0"/>
        <w:bidi w:val="0"/>
        <w:spacing w:line="560" w:lineRule="exact"/>
        <w:textAlignment w:val="auto"/>
        <w:rPr>
          <w:rFonts w:hint="eastAsia" w:ascii="仿宋" w:hAnsi="仿宋" w:eastAsia="仿宋" w:cs="仿宋"/>
          <w:color w:val="auto"/>
          <w:kern w:val="2"/>
          <w:szCs w:val="24"/>
          <w:highlight w:val="none"/>
        </w:rPr>
      </w:pPr>
    </w:p>
    <w:p w14:paraId="458E38EC">
      <w:pPr>
        <w:keepNext w:val="0"/>
        <w:keepLines w:val="0"/>
        <w:pageBreakBefore w:val="0"/>
        <w:kinsoku/>
        <w:wordWrap/>
        <w:overflowPunct/>
        <w:topLinePunct w:val="0"/>
        <w:bidi w:val="0"/>
        <w:spacing w:line="560" w:lineRule="exact"/>
        <w:textAlignment w:val="auto"/>
        <w:rPr>
          <w:rFonts w:hint="eastAsia" w:ascii="仿宋" w:hAnsi="仿宋" w:eastAsia="仿宋" w:cs="仿宋"/>
          <w:color w:val="auto"/>
          <w:kern w:val="2"/>
          <w:szCs w:val="24"/>
          <w:highlight w:val="none"/>
        </w:rPr>
      </w:pPr>
    </w:p>
    <w:p w14:paraId="4DEFE3AA">
      <w:pPr>
        <w:keepNext w:val="0"/>
        <w:keepLines w:val="0"/>
        <w:pageBreakBefore w:val="0"/>
        <w:kinsoku/>
        <w:wordWrap/>
        <w:overflowPunct/>
        <w:topLinePunct w:val="0"/>
        <w:bidi w:val="0"/>
        <w:spacing w:line="560" w:lineRule="exact"/>
        <w:textAlignment w:val="auto"/>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br w:type="page"/>
      </w:r>
      <w:r>
        <w:rPr>
          <w:rFonts w:hint="eastAsia" w:ascii="仿宋" w:hAnsi="仿宋" w:eastAsia="仿宋" w:cs="仿宋"/>
          <w:color w:val="auto"/>
          <w:kern w:val="2"/>
          <w:szCs w:val="24"/>
          <w:highlight w:val="none"/>
        </w:rPr>
        <w:t>二、合同条款</w:t>
      </w:r>
    </w:p>
    <w:p w14:paraId="1A8ED5CE">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第一条 本着平等互惠、互相支持、共同发展的原则，就甲方针对本项目的事宜， 经甲乙双方友好协商， 共同签署本合同， 以资共同遵守。 </w:t>
      </w:r>
    </w:p>
    <w:p w14:paraId="3491CF94">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第二条 服务定义：根据甲方需要，乙方为甲方提供该项目的服务等业务。 </w:t>
      </w:r>
    </w:p>
    <w:p w14:paraId="6D9A4C70">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第三条 乙方服务人员：是指乙方派出的符合本合同资格条件的、在甲方从事本合同规定的施工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3327A0E7">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FF0000"/>
          <w:kern w:val="0"/>
          <w:szCs w:val="24"/>
          <w:highlight w:val="none"/>
        </w:rPr>
      </w:pPr>
      <w:r>
        <w:rPr>
          <w:rFonts w:hint="eastAsia" w:ascii="仿宋" w:hAnsi="仿宋" w:eastAsia="仿宋" w:cs="仿宋"/>
          <w:color w:val="auto"/>
          <w:kern w:val="0"/>
          <w:szCs w:val="24"/>
          <w:highlight w:val="none"/>
        </w:rPr>
        <w:t>第四条 服务期限，从    年  月  日起至    年  月   日。</w:t>
      </w:r>
    </w:p>
    <w:p w14:paraId="69553E78">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第五条 服务费用：人民币       元，合计人民币       元。</w:t>
      </w:r>
    </w:p>
    <w:p w14:paraId="2F1E3BE5">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第六条费支付方式：</w:t>
      </w:r>
    </w:p>
    <w:p w14:paraId="1AC05D6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签订合同时双方协商决定。</w:t>
      </w:r>
    </w:p>
    <w:p w14:paraId="256791CB">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第七条 甲方的权利</w:t>
      </w:r>
    </w:p>
    <w:p w14:paraId="359914BC">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1、甲方有权享有乙方按照上述约定提供的服务。</w:t>
      </w:r>
    </w:p>
    <w:p w14:paraId="68BD9DC8">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96E529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4E542C7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4、除本合同约定的服务费用外，乙方不得向甲方及其甲方人员收取其他任何费用，如甲方发现乙方有此类行为，甲方有权要求乙方清退所收费用，退还利息并支付违约金；</w:t>
      </w:r>
    </w:p>
    <w:p w14:paraId="5D83CD2E">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对乙方规划成果的所有权、使用权和著作权归属的约定：归甲方所有。乙方不得以任何借口留存，否则承担由此产生的一切法律和经济责任。未经甲方允许，任何单位和个人不得转让和使用本项目的规划成果。</w:t>
      </w:r>
    </w:p>
    <w:p w14:paraId="4BC83C44">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第八条 甲方的义务</w:t>
      </w:r>
    </w:p>
    <w:p w14:paraId="165DC353">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1、在服务实施过程中，甲方应为乙方提供必要的工作便利与指导，配合乙方履行职责。 </w:t>
      </w:r>
    </w:p>
    <w:p w14:paraId="775665BB">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2、甲方不得将本合同的内容向甲乙双方以外的、与签订和履行本合同无关的任何第三方透露，不得泄露乙方的商业秘密（包括本合同及其附件和合同签订前的各项方案） 。</w:t>
      </w:r>
    </w:p>
    <w:p w14:paraId="0FB14D4E">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第九条 任何一方违反或擅自变更本合同的约定，应当承担由此给对方造成的经济损失和相关责任。</w:t>
      </w:r>
    </w:p>
    <w:p w14:paraId="54216A30">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第十条甲方违约责任</w:t>
      </w:r>
    </w:p>
    <w:p w14:paraId="4C73571E">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1、由于甲方的原因或因不可抗力的自然因素影响，则服务周期顺延。</w:t>
      </w:r>
    </w:p>
    <w:p w14:paraId="039FC3B7">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2、对于乙方提供的图纸等资料以及属于乙方的规划成果，甲方有义务保密，不得向第三方提供或用于本合同以外的项目，否则乙方有权要求甲方按本合同项目款总额的20%赔偿损失。 </w:t>
      </w:r>
    </w:p>
    <w:p w14:paraId="29F912D0">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第十一条乙方违约责任</w:t>
      </w:r>
    </w:p>
    <w:p w14:paraId="1E07DDDF">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1、合同签订后，如乙方擅自中途停止或解除合同，乙方应向甲方双倍返还定金。没有约定定金的，乙方向甲方赔偿规划服务价款的。</w:t>
      </w:r>
    </w:p>
    <w:p w14:paraId="56AE180D">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2、在甲方提供了必要的工作、生活条件，并且保证了项目款按时到位，乙方未能按合同规定的日期提交规划成果时，应向甲方赔偿拖期损失费，每天的拖期损失费按合同约定的项目总造价款的。</w:t>
      </w:r>
    </w:p>
    <w:p w14:paraId="7D34534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3、因天气、交通、政府行为、甲方提供的资料不准确等客观原因造成的规划周期拖期，乙方不承担赔偿责任。 </w:t>
      </w:r>
    </w:p>
    <w:p w14:paraId="5D7C5E67">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规划服务实施过程中，乙方未按投标书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67556843">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乙方有责任按甲方要求分期提交项目阶段性成果。如乙方未能按规定的设计周期交付成果，每延误一天，应付逾期违约金人民币（但由于受天气等不可抗力的自然因素影响，则工期顺延），逾期10天以上的，甲方除有权终止履行合同外，乙方应承担因延期造成的损失。同时，甲方有权根据乙方所承担服务的质量和进度是否符合要求而对服务的内容进行调整。</w:t>
      </w:r>
    </w:p>
    <w:p w14:paraId="03AD8972">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6、乙方提供的规划服务成果质量不合格的，乙方应负责无偿予以重测或采取补救措施，以达到质量要求。因规划服务成果最终不符合合同要求（而又非甲方提供的资料原因所致）造成后果时，乙方应对因此造成的直接损失负赔偿责任，并承担相应的法律责任（由于甲方提供的图纸资料原因产生的责任由甲方自己负责）。</w:t>
      </w:r>
    </w:p>
    <w:p w14:paraId="75B7046C">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返工周期为    天，到   年  月  日前完成，并向甲方提供规划成果。由于返工造成逾期交付成果的，按延误服务周期偿付逾期违约金。若返工后还无法通过验收，甲方有权单方解除合同，并追回所付项目款。 </w:t>
      </w:r>
    </w:p>
    <w:p w14:paraId="1E91786F">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7、在合同期内和合同终止后，乙方应负责所有成果、资料的保密，非经甲方书面认可，不得向任何人以任何方式提供任何资料。严格按甲方要求程序传递各种资料，否则甲方有权单方解除合同，并追回所付项目款。乙方提交成果后十日内，退回全部原始资料。否则，甲方有权要求乙方按本合同项目款总额的20%赔偿损失，并追究其法律责任。</w:t>
      </w:r>
    </w:p>
    <w:p w14:paraId="6E448F92">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8、乙方不得将本项目的任何部分转包或分包给其他任何单位和个人。若擅自转包或分包本合同标的，甲方有权解除合同，并可要求乙方偿付预算工程费30%的违约金，同时追究其法律责任。 </w:t>
      </w:r>
    </w:p>
    <w:p w14:paraId="7A039B0E">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第十二条 甲乙任何一方按照本合同规定索取违约金或赔偿金时，应书面通知违约方并说明违约金或赔偿金额；违约方应在收到对方发出的书面索赔通知的十个工作日内按索赔要求支付违约金或经 济赔偿；如违约方对违约金或赔偿金额有异议，应在收到通知后七个工作日内通知对方，双方应在收到对方的通知或答复后尽快协商明确 违约责任。</w:t>
      </w:r>
    </w:p>
    <w:p w14:paraId="24F127D0">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第十三条 因执行本合同发生的一切争议，双方应首先友好协商解决。经协商不能解决，应向甲方所在地人民法院提起诉讼。在诉讼 期间，除必须在诉讼过程中进行解决的问题外，合同其余部分应继续履行。 </w:t>
      </w:r>
    </w:p>
    <w:p w14:paraId="5A841D6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第十四条 甲、乙双方有一方有正当理由要求变更本合同，须提前一个月以书面形式通知对方并协商解决，双方应签署变更合同。 </w:t>
      </w:r>
    </w:p>
    <w:p w14:paraId="30FF1AE1">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第十五条 本合同期满双方不再续约或者因一方违约导致本合同无法履行，则本合同终止。但合同的终止不得损害第三方的利益，双方应为此做出合理安排。 </w:t>
      </w:r>
    </w:p>
    <w:p w14:paraId="66246087">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第十六条 未经对方同意，甲乙任何一方不得将本合同部分或全部权利和义务转让给第三方。</w:t>
      </w:r>
    </w:p>
    <w:p w14:paraId="448A2A2A">
      <w:pPr>
        <w:keepNext w:val="0"/>
        <w:keepLines w:val="0"/>
        <w:pageBreakBefore w:val="0"/>
        <w:widowControl w:val="0"/>
        <w:kinsoku/>
        <w:wordWrap/>
        <w:overflowPunct/>
        <w:topLinePunct w:val="0"/>
        <w:autoSpaceDE/>
        <w:autoSpaceDN/>
        <w:bidi w:val="0"/>
        <w:adjustRightInd/>
        <w:snapToGrid/>
        <w:spacing w:line="560" w:lineRule="exact"/>
        <w:ind w:firstLine="616" w:firstLineChars="257"/>
        <w:textAlignment w:val="auto"/>
        <w:outlineLvl w:val="9"/>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第十七条 本合同中涉及的所有“通知”、“同意”、“确认” 等事项均应以书面形式做出，并作为依据。</w:t>
      </w:r>
    </w:p>
    <w:p w14:paraId="42E895BD">
      <w:pPr>
        <w:keepNext w:val="0"/>
        <w:keepLines w:val="0"/>
        <w:pageBreakBefore w:val="0"/>
        <w:kinsoku/>
        <w:wordWrap/>
        <w:overflowPunct/>
        <w:topLinePunct w:val="0"/>
        <w:autoSpaceDE w:val="0"/>
        <w:autoSpaceDN w:val="0"/>
        <w:bidi w:val="0"/>
        <w:spacing w:line="560" w:lineRule="exact"/>
        <w:ind w:left="240" w:leftChars="100"/>
        <w:textAlignment w:val="auto"/>
        <w:rPr>
          <w:rFonts w:hint="eastAsia" w:ascii="仿宋" w:hAnsi="仿宋" w:eastAsia="仿宋" w:cs="仿宋"/>
          <w:color w:val="auto"/>
          <w:szCs w:val="24"/>
          <w:highlight w:val="none"/>
          <w:lang w:eastAsia="zh-CN"/>
        </w:rPr>
        <w:sectPr>
          <w:headerReference r:id="rId3" w:type="first"/>
          <w:footerReference r:id="rId5" w:type="first"/>
          <w:footerReference r:id="rId4" w:type="default"/>
          <w:pgSz w:w="11907" w:h="16840"/>
          <w:pgMar w:top="1418" w:right="1287" w:bottom="1418" w:left="1055" w:header="936" w:footer="771" w:gutter="567"/>
          <w:pgNumType w:fmt="decimal"/>
          <w:cols w:space="720" w:num="1"/>
          <w:titlePg/>
          <w:docGrid w:linePitch="312" w:charSpace="0"/>
        </w:sectPr>
      </w:pPr>
      <w:r>
        <w:rPr>
          <w:rFonts w:hint="eastAsia" w:ascii="仿宋" w:hAnsi="仿宋" w:eastAsia="仿宋" w:cs="仿宋"/>
          <w:color w:val="auto"/>
          <w:kern w:val="0"/>
          <w:szCs w:val="24"/>
          <w:highlight w:val="none"/>
        </w:rPr>
        <w:t>第十八条 本合同有关附件及补充合同是本合同不可分割的组成部分，与本合同具有同等法律效力；本合同未尽事宜，双方另行协商并签署补充合同，作为本合同的附件，具有同等法律效力</w:t>
      </w:r>
      <w:r>
        <w:rPr>
          <w:rFonts w:hint="eastAsia" w:ascii="仿宋" w:hAnsi="仿宋" w:eastAsia="仿宋" w:cs="仿宋"/>
          <w:color w:val="auto"/>
          <w:kern w:val="0"/>
          <w:szCs w:val="24"/>
          <w:highlight w:val="none"/>
          <w:lang w:eastAsia="zh-CN"/>
        </w:rPr>
        <w:t>。</w:t>
      </w:r>
      <w:bookmarkStart w:id="4" w:name="_GoBack"/>
      <w:bookmarkEnd w:id="4"/>
    </w:p>
    <w:p w14:paraId="3AA7CF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CF4C8">
    <w:pPr>
      <w:widowControl w:val="0"/>
      <w:spacing w:after="120" w:afterLines="0"/>
      <w:jc w:val="both"/>
      <w:rPr>
        <w:rFonts w:hint="eastAsia" w:ascii="仿宋" w:hAnsi="仿宋" w:eastAsia="仿宋" w:cs="仿宋"/>
        <w:kern w:val="2"/>
        <w:sz w:val="21"/>
        <w:szCs w:val="24"/>
        <w:lang w:val="en-US" w:eastAsia="zh-CN" w:bidi="ar-SA"/>
      </w:rPr>
    </w:pPr>
    <w:r>
      <w:rPr>
        <w:rFonts w:hint="eastAsia" w:ascii="仿宋" w:hAnsi="仿宋" w:eastAsia="仿宋" w:cs="仿宋"/>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6C7085D">
                          <w:pPr>
                            <w:widowControl w:val="0"/>
                            <w:snapToGrid w:val="0"/>
                            <w:jc w:val="left"/>
                            <w:rPr>
                              <w:rFonts w:hint="eastAsia" w:ascii="Tahoma" w:hAnsi="Tahoma" w:eastAsia="宋体" w:cs="Times New Roman"/>
                              <w:kern w:val="2"/>
                              <w:sz w:val="18"/>
                              <w:szCs w:val="18"/>
                              <w:lang w:val="en-US" w:eastAsia="zh-CN" w:bidi="ar-SA"/>
                            </w:rPr>
                          </w:pPr>
                          <w:r>
                            <w:rPr>
                              <w:rFonts w:hint="eastAsia" w:ascii="Tahoma" w:hAnsi="Tahoma" w:eastAsia="宋体" w:cs="Times New Roman"/>
                              <w:kern w:val="2"/>
                              <w:sz w:val="18"/>
                              <w:szCs w:val="18"/>
                              <w:lang w:val="en-US" w:eastAsia="zh-CN" w:bidi="ar-SA"/>
                            </w:rPr>
                            <w:t xml:space="preserve">第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PAGE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3</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 共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NUMPAGES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66</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AslDbw0QEAAKIDAAAOAAAAAAAAAAEAIAAAAB8BAABk&#10;cnMvZTJvRG9jLnhtbFBLBQYAAAAABgAGAFkBAABiBQAAAAA=&#10;">
              <v:fill on="f" focussize="0,0"/>
              <v:stroke on="f" weight="0.5pt"/>
              <v:imagedata o:title=""/>
              <o:lock v:ext="edit" aspectratio="f"/>
              <v:textbox inset="0mm,0mm,0mm,0mm" style="mso-fit-shape-to-text:t;">
                <w:txbxContent>
                  <w:p w14:paraId="76C7085D">
                    <w:pPr>
                      <w:widowControl w:val="0"/>
                      <w:snapToGrid w:val="0"/>
                      <w:jc w:val="left"/>
                      <w:rPr>
                        <w:rFonts w:hint="eastAsia" w:ascii="Tahoma" w:hAnsi="Tahoma" w:eastAsia="宋体" w:cs="Times New Roman"/>
                        <w:kern w:val="2"/>
                        <w:sz w:val="18"/>
                        <w:szCs w:val="18"/>
                        <w:lang w:val="en-US" w:eastAsia="zh-CN" w:bidi="ar-SA"/>
                      </w:rPr>
                    </w:pPr>
                    <w:r>
                      <w:rPr>
                        <w:rFonts w:hint="eastAsia" w:ascii="Tahoma" w:hAnsi="Tahoma" w:eastAsia="宋体" w:cs="Times New Roman"/>
                        <w:kern w:val="2"/>
                        <w:sz w:val="18"/>
                        <w:szCs w:val="18"/>
                        <w:lang w:val="en-US" w:eastAsia="zh-CN" w:bidi="ar-SA"/>
                      </w:rPr>
                      <w:t xml:space="preserve">第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PAGE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3</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 共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NUMPAGES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66</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w:t>
                    </w:r>
                  </w:p>
                </w:txbxContent>
              </v:textbox>
            </v:shape>
          </w:pict>
        </mc:Fallback>
      </mc:AlternateContent>
    </w:r>
  </w:p>
  <w:p w14:paraId="1E29F820">
    <w:pPr>
      <w:spacing w:line="280" w:lineRule="exact"/>
      <w:jc w:val="both"/>
      <w:rPr>
        <w:rFonts w:hint="eastAsia" w:ascii="宋体" w:hAnsi="宋体" w:eastAsia="宋体" w:cs="Times New Roman"/>
        <w:b/>
        <w:kern w:val="2"/>
        <w:sz w:val="21"/>
        <w:szCs w:val="16"/>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33ABA">
    <w:pPr>
      <w:widowControl w:val="0"/>
      <w:snapToGrid w:val="0"/>
      <w:jc w:val="center"/>
      <w:rPr>
        <w:rFonts w:ascii="Tahoma" w:hAnsi="Tahoma" w:eastAsia="宋体" w:cs="Times New Roman"/>
        <w:b/>
        <w:kern w:val="2"/>
        <w:sz w:val="24"/>
        <w:szCs w:val="20"/>
        <w:lang w:val="en-US" w:eastAsia="zh-CN" w:bidi="ar-SA"/>
      </w:rPr>
    </w:pPr>
    <w:r>
      <w:rPr>
        <w:rFonts w:ascii="Tahoma" w:hAnsi="Tahoma"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25F5336">
                          <w:pPr>
                            <w:widowControl w:val="0"/>
                            <w:snapToGrid w:val="0"/>
                            <w:jc w:val="left"/>
                            <w:rPr>
                              <w:rFonts w:hint="eastAsia" w:ascii="Tahoma" w:hAnsi="Tahoma" w:eastAsia="宋体" w:cs="Times New Roman"/>
                              <w:kern w:val="2"/>
                              <w:sz w:val="18"/>
                              <w:szCs w:val="18"/>
                              <w:lang w:val="en-US" w:eastAsia="zh-CN" w:bidi="ar-SA"/>
                            </w:rPr>
                          </w:pPr>
                          <w:r>
                            <w:rPr>
                              <w:rFonts w:hint="eastAsia" w:ascii="Tahoma" w:hAnsi="Tahoma" w:eastAsia="宋体" w:cs="Times New Roman"/>
                              <w:kern w:val="2"/>
                              <w:sz w:val="18"/>
                              <w:szCs w:val="18"/>
                              <w:lang w:val="en-US" w:eastAsia="zh-CN" w:bidi="ar-SA"/>
                            </w:rPr>
                            <w:t xml:space="preserve">第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PAGE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2</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 共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NUMPAGES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66</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225F5336">
                    <w:pPr>
                      <w:widowControl w:val="0"/>
                      <w:snapToGrid w:val="0"/>
                      <w:jc w:val="left"/>
                      <w:rPr>
                        <w:rFonts w:hint="eastAsia" w:ascii="Tahoma" w:hAnsi="Tahoma" w:eastAsia="宋体" w:cs="Times New Roman"/>
                        <w:kern w:val="2"/>
                        <w:sz w:val="18"/>
                        <w:szCs w:val="18"/>
                        <w:lang w:val="en-US" w:eastAsia="zh-CN" w:bidi="ar-SA"/>
                      </w:rPr>
                    </w:pPr>
                    <w:r>
                      <w:rPr>
                        <w:rFonts w:hint="eastAsia" w:ascii="Tahoma" w:hAnsi="Tahoma" w:eastAsia="宋体" w:cs="Times New Roman"/>
                        <w:kern w:val="2"/>
                        <w:sz w:val="18"/>
                        <w:szCs w:val="18"/>
                        <w:lang w:val="en-US" w:eastAsia="zh-CN" w:bidi="ar-SA"/>
                      </w:rPr>
                      <w:t xml:space="preserve">第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PAGE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2</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 共 </w:t>
                    </w:r>
                    <w:r>
                      <w:rPr>
                        <w:rFonts w:hint="eastAsia" w:ascii="Tahoma" w:hAnsi="Tahoma" w:eastAsia="宋体" w:cs="Times New Roman"/>
                        <w:kern w:val="2"/>
                        <w:sz w:val="18"/>
                        <w:szCs w:val="18"/>
                        <w:lang w:val="en-US" w:eastAsia="zh-CN" w:bidi="ar-SA"/>
                      </w:rPr>
                      <w:fldChar w:fldCharType="begin"/>
                    </w:r>
                    <w:r>
                      <w:rPr>
                        <w:rFonts w:hint="eastAsia" w:ascii="Tahoma" w:hAnsi="Tahoma" w:eastAsia="宋体" w:cs="Times New Roman"/>
                        <w:kern w:val="2"/>
                        <w:sz w:val="18"/>
                        <w:szCs w:val="18"/>
                        <w:lang w:val="en-US" w:eastAsia="zh-CN" w:bidi="ar-SA"/>
                      </w:rPr>
                      <w:instrText xml:space="preserve"> NUMPAGES  \* MERGEFORMAT </w:instrText>
                    </w:r>
                    <w:r>
                      <w:rPr>
                        <w:rFonts w:hint="eastAsia" w:ascii="Tahoma" w:hAnsi="Tahoma" w:eastAsia="宋体" w:cs="Times New Roman"/>
                        <w:kern w:val="2"/>
                        <w:sz w:val="18"/>
                        <w:szCs w:val="18"/>
                        <w:lang w:val="en-US" w:eastAsia="zh-CN" w:bidi="ar-SA"/>
                      </w:rPr>
                      <w:fldChar w:fldCharType="separate"/>
                    </w:r>
                    <w:r>
                      <w:rPr>
                        <w:rFonts w:hint="eastAsia" w:ascii="Tahoma" w:hAnsi="Tahoma" w:eastAsia="宋体" w:cs="Times New Roman"/>
                        <w:kern w:val="2"/>
                        <w:sz w:val="18"/>
                        <w:szCs w:val="18"/>
                        <w:lang w:val="en-US" w:eastAsia="zh-CN" w:bidi="ar-SA"/>
                      </w:rPr>
                      <w:t>66</w:t>
                    </w:r>
                    <w:r>
                      <w:rPr>
                        <w:rFonts w:hint="eastAsia" w:ascii="Tahoma" w:hAnsi="Tahoma" w:eastAsia="宋体" w:cs="Times New Roman"/>
                        <w:kern w:val="2"/>
                        <w:sz w:val="18"/>
                        <w:szCs w:val="18"/>
                        <w:lang w:val="en-US" w:eastAsia="zh-CN" w:bidi="ar-SA"/>
                      </w:rPr>
                      <w:fldChar w:fldCharType="end"/>
                    </w:r>
                    <w:r>
                      <w:rPr>
                        <w:rFonts w:hint="eastAsia" w:ascii="Tahoma" w:hAnsi="Tahoma" w:eastAsia="宋体" w:cs="Times New Roman"/>
                        <w:kern w:val="2"/>
                        <w:sz w:val="18"/>
                        <w:szCs w:val="18"/>
                        <w:lang w:val="en-US" w:eastAsia="zh-CN" w:bidi="ar-S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E128E">
    <w:pPr>
      <w:widowControl w:val="0"/>
      <w:pBdr>
        <w:bottom w:val="single" w:color="auto" w:sz="4" w:space="1"/>
      </w:pBdr>
      <w:snapToGrid w:val="0"/>
      <w:jc w:val="left"/>
      <w:rPr>
        <w:rFonts w:hint="eastAsia" w:ascii="仿宋" w:hAnsi="仿宋" w:eastAsia="仿宋" w:cs="仿宋"/>
        <w:b/>
        <w:kern w:val="2"/>
        <w:sz w:val="18"/>
        <w:szCs w:val="18"/>
        <w:u w:val="none"/>
        <w:shd w:val="pct10" w:color="auto" w:fill="FFFFFF"/>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0BB5CF"/>
    <w:multiLevelType w:val="singleLevel"/>
    <w:tmpl w:val="550BB5CF"/>
    <w:lvl w:ilvl="0" w:tentative="0">
      <w:start w:val="3"/>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31C1"/>
    <w:rsid w:val="33D04B10"/>
    <w:rsid w:val="364376B0"/>
    <w:rsid w:val="551C150B"/>
    <w:rsid w:val="7DDB4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1"/>
    <w:basedOn w:val="1"/>
    <w:next w:val="1"/>
    <w:unhideWhenUsed/>
    <w:qFormat/>
    <w:uiPriority w:val="39"/>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3242</Words>
  <Characters>3268</Characters>
  <Lines>0</Lines>
  <Paragraphs>0</Paragraphs>
  <TotalTime>0</TotalTime>
  <ScaleCrop>false</ScaleCrop>
  <LinksUpToDate>false</LinksUpToDate>
  <CharactersWithSpaces>3479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2026-02-24T02:48:00Z</dcterms:created>
  <dc:creator>Administrator</dc:creator>
  <cp:lastModifiedBy>M…木！</cp:lastModifiedBy>
  <dcterms:modified xsi:type="dcterms:W3CDTF">2026-02-25T07:10:07Z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eyJoZGlkIjoiOGI4NjI5OTBmMDM1ODFlMDkzNDFlZTFiMWNhZWU5ZTMiLCJ1c2VySWQiOiIzNTk3MTIyMDAifQ==</vt:lpwstr>
  </property>
  <property fmtid="{D5CDD505-2E9C-101B-9397-08002B2CF9AE}" pid="4" name="ICV">
    <vt:lpwstr>9861FABFA4D442668E70F94BE2449EA0_12</vt:lpwstr>
  </property>
</Properties>
</file>