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版本号：ZZHHCG-2026-010320260302001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住院老人生活照料服务项目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ZZHHCG-2026-0103</w:t>
      </w:r>
      <w:r>
        <w:br/>
      </w:r>
      <w:r>
        <w:br/>
      </w:r>
      <w:r>
        <w:br/>
      </w:r>
    </w:p>
    <w:p>
      <w:pPr>
        <w:pStyle w:val="null3"/>
        <w:jc w:val="center"/>
        <w:outlineLvl w:val="2"/>
      </w:pPr>
      <w:r>
        <w:rPr>
          <w:rFonts w:ascii="仿宋_GB2312" w:hAnsi="仿宋_GB2312" w:cs="仿宋_GB2312" w:eastAsia="仿宋_GB2312"/>
          <w:sz w:val="28"/>
          <w:b/>
        </w:rPr>
        <w:t>宁强县中心敬老院</w:t>
      </w:r>
    </w:p>
    <w:p>
      <w:pPr>
        <w:pStyle w:val="null3"/>
        <w:jc w:val="center"/>
        <w:outlineLvl w:val="2"/>
      </w:pPr>
      <w:r>
        <w:rPr>
          <w:rFonts w:ascii="仿宋_GB2312" w:hAnsi="仿宋_GB2312" w:cs="仿宋_GB2312" w:eastAsia="仿宋_GB2312"/>
          <w:sz w:val="28"/>
          <w:b/>
        </w:rPr>
        <w:t>陕西中正浩华项目管理有限公司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陕西中正浩华项目管理有限公司</w:t>
      </w:r>
      <w:r>
        <w:rPr>
          <w:rFonts w:ascii="仿宋_GB2312" w:hAnsi="仿宋_GB2312" w:cs="仿宋_GB2312" w:eastAsia="仿宋_GB2312"/>
        </w:rPr>
        <w:t>（以下简称“代理机构”）受</w:t>
      </w:r>
      <w:r>
        <w:rPr>
          <w:rFonts w:ascii="仿宋_GB2312" w:hAnsi="仿宋_GB2312" w:cs="仿宋_GB2312" w:eastAsia="仿宋_GB2312"/>
        </w:rPr>
        <w:t>宁强县中心敬老院</w:t>
      </w:r>
      <w:r>
        <w:rPr>
          <w:rFonts w:ascii="仿宋_GB2312" w:hAnsi="仿宋_GB2312" w:cs="仿宋_GB2312" w:eastAsia="仿宋_GB2312"/>
        </w:rPr>
        <w:t>委托，拟对</w:t>
      </w:r>
      <w:r>
        <w:rPr>
          <w:rFonts w:ascii="仿宋_GB2312" w:hAnsi="仿宋_GB2312" w:cs="仿宋_GB2312" w:eastAsia="仿宋_GB2312"/>
        </w:rPr>
        <w:t>住院老人生活照料服务项目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ZZHHCG-2026-0103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住院老人生活照料服务项目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完成宁强县中心敬老院住院老人生活照料服务项目，为老人提供住院期间生活照料及餐食。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采购包1（住院老人生活照料服务项目）：属于专门面向小微企业采购。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1、本采购包专门面向中小企业采购：参与的供应商（联合体）服务全部由符合政策要求的小微企业承接。</w:t>
      </w:r>
    </w:p>
    <w:p>
      <w:pPr>
        <w:pStyle w:val="null3"/>
      </w:pPr>
      <w:r>
        <w:rPr>
          <w:rFonts w:ascii="仿宋_GB2312" w:hAnsi="仿宋_GB2312" w:cs="仿宋_GB2312" w:eastAsia="仿宋_GB2312"/>
        </w:rPr>
        <w:t>2、主体资格：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3、授权委托：法定代表人授权委托书（附法定代表人身份证复印件）及被授权委托人身份证（法定代表人参加投标只须提供法定代表人身份证）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4、汉中市政府采购供应商资格承诺函：按照汉中市财政局《关 于全面推行政府采购供应商基本资格条件承诺制的通知》（汉采办采管〔2024〕20 号）文件 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陕西省宁强县汉源高家坪村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15877306457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陕西中正浩华项目管理有限公司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陕西省汉中市南郑区渔营路与江古路十字路口凯奇酒店东侧二楼商铺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18165118328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开户名称：陕西中正浩华项目管理有限公司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银行账号：61050165711100001115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代理服务费收费标准：1、参照国家计委计价格[2002]1980号及发改办价格[2003]857号通知规定，由中标人支付代理服务费。代理服务费缴纳账号：账户名称：陕西中正浩华项目管理有限公司 开户行：中国建设银行股份有限公司汉中南郑区支行 银行账号：61050165711100001115(备注：住院老人生活照料服务项目代理服务费） 2、本项目采购代理费按服务计取。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宁强县中心敬老院</w:t>
      </w:r>
      <w:r>
        <w:rPr>
          <w:rFonts w:ascii="仿宋_GB2312" w:hAnsi="仿宋_GB2312" w:cs="仿宋_GB2312" w:eastAsia="仿宋_GB2312"/>
        </w:rPr>
        <w:t>和</w:t>
      </w:r>
      <w:r>
        <w:rPr>
          <w:rFonts w:ascii="仿宋_GB2312" w:hAnsi="仿宋_GB2312" w:cs="仿宋_GB2312" w:eastAsia="仿宋_GB2312"/>
        </w:rPr>
        <w:t>陕西中正浩华项目管理有限公司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陕西中正浩华项目管理有限公司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陕西中正浩华项目管理有限公司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服务期满，服务过程满足采购人需求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陕西中正浩华项目管理有限公司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联系人：廖浩</w:t>
      </w:r>
    </w:p>
    <w:p>
      <w:pPr>
        <w:pStyle w:val="null3"/>
      </w:pPr>
      <w:r>
        <w:rPr>
          <w:rFonts w:ascii="仿宋_GB2312" w:hAnsi="仿宋_GB2312" w:cs="仿宋_GB2312" w:eastAsia="仿宋_GB2312"/>
        </w:rPr>
        <w:t>联系电话：18165118328</w:t>
      </w:r>
    </w:p>
    <w:p>
      <w:pPr>
        <w:pStyle w:val="null3"/>
      </w:pPr>
      <w:r>
        <w:rPr>
          <w:rFonts w:ascii="仿宋_GB2312" w:hAnsi="仿宋_GB2312" w:cs="仿宋_GB2312" w:eastAsia="仿宋_GB2312"/>
        </w:rPr>
        <w:t>地址：陕西省汉中市南郑区渔营路与江古路十字路口凯奇酒店东侧二楼商铺</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完成宁强县中心敬老院住院老人生活照料服务项目，为老人提供住院期间生活照料及餐食。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住院老人生活照料服务项目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标的名称：住院老人生活照料服务项目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b/>
              </w:rPr>
              <w:t>1、半自理病人日常照顾</w:t>
            </w:r>
          </w:p>
          <w:p>
            <w:pPr>
              <w:pStyle w:val="null3"/>
              <w:jc w:val="both"/>
            </w:pPr>
            <w:r>
              <w:rPr>
                <w:rFonts w:ascii="仿宋_GB2312" w:hAnsi="仿宋_GB2312" w:cs="仿宋_GB2312" w:eastAsia="仿宋_GB2312"/>
                <w:sz w:val="21"/>
                <w:b/>
              </w:rPr>
              <w:t>生活照料：</w:t>
            </w:r>
            <w:r>
              <w:rPr>
                <w:rFonts w:ascii="仿宋_GB2312" w:hAnsi="仿宋_GB2312" w:cs="仿宋_GB2312" w:eastAsia="仿宋_GB2312"/>
                <w:sz w:val="21"/>
              </w:rPr>
              <w:t>协助患者进行晨晚间护理，如洗脸、刷牙、梳头、口腔清洁等；整理病床，保持床铺整洁；协助患者进食、饮水，必要时喂食；帮助患者大小便，留取样本；协助患者清洁身体，如擦澡、洗澡、洗头、剃胡须、剪指甲等；更换衣物，保持患者整洁。</w:t>
            </w:r>
          </w:p>
          <w:p>
            <w:pPr>
              <w:pStyle w:val="null3"/>
              <w:jc w:val="both"/>
            </w:pPr>
            <w:r>
              <w:rPr>
                <w:rFonts w:ascii="仿宋_GB2312" w:hAnsi="仿宋_GB2312" w:cs="仿宋_GB2312" w:eastAsia="仿宋_GB2312"/>
                <w:sz w:val="21"/>
                <w:b/>
              </w:rPr>
              <w:t>安全护理：</w:t>
            </w:r>
            <w:r>
              <w:rPr>
                <w:rFonts w:ascii="仿宋_GB2312" w:hAnsi="仿宋_GB2312" w:cs="仿宋_GB2312" w:eastAsia="仿宋_GB2312"/>
                <w:sz w:val="21"/>
              </w:rPr>
              <w:t>协助患者进行功能锻炼，下床活动，拍背，陪同散步；按时给患者翻身，防止压疮；保持病床及周围整洁，防止患者跌倒、坠床；观察患者输液等治疗情况，及时向医护人员反馈。</w:t>
            </w:r>
          </w:p>
          <w:p>
            <w:pPr>
              <w:pStyle w:val="null3"/>
              <w:jc w:val="both"/>
            </w:pPr>
            <w:r>
              <w:rPr>
                <w:rFonts w:ascii="仿宋_GB2312" w:hAnsi="仿宋_GB2312" w:cs="仿宋_GB2312" w:eastAsia="仿宋_GB2312"/>
                <w:sz w:val="21"/>
                <w:b/>
              </w:rPr>
              <w:t>医疗协助：</w:t>
            </w:r>
            <w:r>
              <w:rPr>
                <w:rFonts w:ascii="仿宋_GB2312" w:hAnsi="仿宋_GB2312" w:cs="仿宋_GB2312" w:eastAsia="仿宋_GB2312"/>
                <w:sz w:val="21"/>
              </w:rPr>
              <w:t>协助护送患者做各种检查；在医护人员指导下协助患者功能锻炼；观察患者病情变化，及时报告医生、护士。</w:t>
            </w:r>
          </w:p>
          <w:p>
            <w:pPr>
              <w:pStyle w:val="null3"/>
              <w:jc w:val="both"/>
            </w:pPr>
            <w:r>
              <w:rPr>
                <w:rFonts w:ascii="仿宋_GB2312" w:hAnsi="仿宋_GB2312" w:cs="仿宋_GB2312" w:eastAsia="仿宋_GB2312"/>
                <w:sz w:val="21"/>
              </w:rPr>
              <w:t>协助就医：在甲方不方便的情况下，要协助甲方将老人送到医院就医或者送老人去医院就医，出院时也需要协助甲方将病人送回或者将病人送回。</w:t>
            </w:r>
          </w:p>
          <w:p>
            <w:pPr>
              <w:pStyle w:val="null3"/>
              <w:jc w:val="both"/>
            </w:pPr>
            <w:r>
              <w:rPr>
                <w:rFonts w:ascii="仿宋_GB2312" w:hAnsi="仿宋_GB2312" w:cs="仿宋_GB2312" w:eastAsia="仿宋_GB2312"/>
                <w:sz w:val="21"/>
                <w:b/>
              </w:rPr>
              <w:t>心理疏导：</w:t>
            </w:r>
            <w:r>
              <w:rPr>
                <w:rFonts w:ascii="仿宋_GB2312" w:hAnsi="仿宋_GB2312" w:cs="仿宋_GB2312" w:eastAsia="仿宋_GB2312"/>
                <w:sz w:val="21"/>
              </w:rPr>
              <w:t>与患者聊天，进行心理疏导，协助患者进行适当的文娱活动，使患者处于最佳疗养状态。</w:t>
            </w:r>
          </w:p>
          <w:p>
            <w:pPr>
              <w:pStyle w:val="null3"/>
              <w:jc w:val="both"/>
            </w:pPr>
            <w:r>
              <w:rPr>
                <w:rFonts w:ascii="仿宋_GB2312" w:hAnsi="仿宋_GB2312" w:cs="仿宋_GB2312" w:eastAsia="仿宋_GB2312"/>
                <w:sz w:val="21"/>
                <w:b/>
              </w:rPr>
              <w:t>餐饮指导：</w:t>
            </w:r>
          </w:p>
          <w:p>
            <w:pPr>
              <w:pStyle w:val="null3"/>
              <w:jc w:val="both"/>
            </w:pPr>
            <w:r>
              <w:rPr>
                <w:rFonts w:ascii="仿宋_GB2312" w:hAnsi="仿宋_GB2312" w:cs="仿宋_GB2312" w:eastAsia="仿宋_GB2312"/>
                <w:sz w:val="21"/>
                <w:b/>
              </w:rPr>
              <w:t>饮食保障</w:t>
            </w:r>
          </w:p>
          <w:p>
            <w:pPr>
              <w:pStyle w:val="null3"/>
              <w:jc w:val="both"/>
            </w:pPr>
            <w:r>
              <w:rPr>
                <w:rFonts w:ascii="仿宋_GB2312" w:hAnsi="仿宋_GB2312" w:cs="仿宋_GB2312" w:eastAsia="仿宋_GB2312"/>
                <w:sz w:val="21"/>
              </w:rPr>
              <w:t>①保证足够的营养摄入，包括热量、蛋白质、维生素和矿物质等营养素。</w:t>
            </w:r>
          </w:p>
          <w:p>
            <w:pPr>
              <w:pStyle w:val="null3"/>
              <w:jc w:val="both"/>
            </w:pPr>
            <w:r>
              <w:rPr>
                <w:rFonts w:ascii="仿宋_GB2312" w:hAnsi="仿宋_GB2312" w:cs="仿宋_GB2312" w:eastAsia="仿宋_GB2312"/>
                <w:sz w:val="21"/>
              </w:rPr>
              <w:t>② 选择易消化、清淡的食物，避免油腻和刺激性食物。</w:t>
            </w:r>
          </w:p>
          <w:p>
            <w:pPr>
              <w:pStyle w:val="null3"/>
              <w:jc w:val="both"/>
            </w:pPr>
            <w:r>
              <w:rPr>
                <w:rFonts w:ascii="仿宋_GB2312" w:hAnsi="仿宋_GB2312" w:cs="仿宋_GB2312" w:eastAsia="仿宋_GB2312"/>
                <w:sz w:val="21"/>
              </w:rPr>
              <w:t>③采用少量多餐的方式，减轻胃的负担。</w:t>
            </w:r>
          </w:p>
          <w:p>
            <w:pPr>
              <w:pStyle w:val="null3"/>
              <w:jc w:val="both"/>
            </w:pPr>
            <w:r>
              <w:rPr>
                <w:rFonts w:ascii="仿宋_GB2312" w:hAnsi="仿宋_GB2312" w:cs="仿宋_GB2312" w:eastAsia="仿宋_GB2312"/>
                <w:sz w:val="21"/>
              </w:rPr>
              <w:t>④根据病情遵循医生建议选择特殊饮食，如低盐、低脂、低糖饮食等。</w:t>
            </w:r>
          </w:p>
          <w:p>
            <w:pPr>
              <w:pStyle w:val="null3"/>
              <w:jc w:val="both"/>
            </w:pPr>
            <w:r>
              <w:rPr>
                <w:rFonts w:ascii="仿宋_GB2312" w:hAnsi="仿宋_GB2312" w:cs="仿宋_GB2312" w:eastAsia="仿宋_GB2312"/>
                <w:sz w:val="21"/>
              </w:rPr>
              <w:t>⑤进食后及时漱口，保持口腔清洁，避免食用不新鲜食物，保持良好饮食习惯。</w:t>
            </w:r>
          </w:p>
          <w:p>
            <w:pPr>
              <w:pStyle w:val="null3"/>
              <w:jc w:val="both"/>
            </w:pPr>
            <w:r>
              <w:rPr>
                <w:rFonts w:ascii="仿宋_GB2312" w:hAnsi="仿宋_GB2312" w:cs="仿宋_GB2312" w:eastAsia="仿宋_GB2312"/>
                <w:sz w:val="21"/>
              </w:rPr>
              <w:t>⑥病人按照医生的要求和病人病情的需要安排营养餐，没有特殊要求的病人按病人的口味和忌口，安排营养餐。</w:t>
            </w:r>
          </w:p>
          <w:p>
            <w:pPr>
              <w:pStyle w:val="null3"/>
            </w:pPr>
            <w:r>
              <w:rPr>
                <w:rFonts w:ascii="仿宋_GB2312" w:hAnsi="仿宋_GB2312" w:cs="仿宋_GB2312" w:eastAsia="仿宋_GB2312"/>
                <w:sz w:val="21"/>
              </w:rPr>
              <w:t>⑦针对需要打流食的病人，需要使用破壁机给病人打匀浆，按照医生的要求进行胃管打注。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w:t>
            </w:r>
            <w:r>
              <w:rPr>
                <w:rFonts w:ascii="仿宋_GB2312" w:hAnsi="仿宋_GB2312" w:cs="仿宋_GB2312" w:eastAsia="仿宋_GB2312"/>
                <w:sz w:val="20"/>
                <w:b/>
              </w:rPr>
              <w:t>特殊病人照顾</w:t>
            </w:r>
          </w:p>
          <w:p>
            <w:pPr>
              <w:pStyle w:val="null3"/>
              <w:jc w:val="both"/>
            </w:pPr>
            <w:r>
              <w:rPr>
                <w:rFonts w:ascii="仿宋_GB2312" w:hAnsi="仿宋_GB2312" w:cs="仿宋_GB2312" w:eastAsia="仿宋_GB2312"/>
                <w:sz w:val="20"/>
                <w:b/>
              </w:rPr>
              <w:t>精神有异常的病人防止走丢，防止和其他人员发生矛盾和冲突，防止损坏医院的医疗器械。胃管，尿管，器官切开的病人照顾需要专业人员专业陪护</w:t>
            </w:r>
            <w:r>
              <w:rPr>
                <w:rFonts w:ascii="仿宋_GB2312" w:hAnsi="仿宋_GB2312" w:cs="仿宋_GB2312" w:eastAsia="仿宋_GB2312"/>
                <w:sz w:val="20"/>
                <w:b/>
              </w:rPr>
              <w:t>。</w:t>
            </w:r>
            <w:r>
              <w:rPr>
                <w:rFonts w:ascii="仿宋_GB2312" w:hAnsi="仿宋_GB2312" w:cs="仿宋_GB2312" w:eastAsia="仿宋_GB2312"/>
                <w:sz w:val="20"/>
                <w:b/>
              </w:rPr>
              <w:t>不能配合医生</w:t>
            </w:r>
            <w:r>
              <w:rPr>
                <w:rFonts w:ascii="仿宋_GB2312" w:hAnsi="仿宋_GB2312" w:cs="仿宋_GB2312" w:eastAsia="仿宋_GB2312"/>
                <w:sz w:val="20"/>
                <w:b/>
              </w:rPr>
              <w:t>治</w:t>
            </w:r>
            <w:r>
              <w:rPr>
                <w:rFonts w:ascii="仿宋_GB2312" w:hAnsi="仿宋_GB2312" w:cs="仿宋_GB2312" w:eastAsia="仿宋_GB2312"/>
                <w:sz w:val="20"/>
                <w:b/>
              </w:rPr>
              <w:t>疗的病人，必要时要进行约束。陪护精神病患者要留意其病情、保障安全、监督服药及给予心理支持。</w:t>
            </w:r>
          </w:p>
          <w:p>
            <w:pPr>
              <w:pStyle w:val="null3"/>
              <w:jc w:val="both"/>
            </w:pPr>
            <w:r>
              <w:rPr>
                <w:rFonts w:ascii="仿宋_GB2312" w:hAnsi="仿宋_GB2312" w:cs="仿宋_GB2312" w:eastAsia="仿宋_GB2312"/>
                <w:sz w:val="20"/>
              </w:rPr>
              <w:t>留意病情变化，密切观察患者的症状、情绪、行为等表现，如病情波动及时联系医生。</w:t>
            </w:r>
          </w:p>
          <w:p>
            <w:pPr>
              <w:pStyle w:val="null3"/>
              <w:jc w:val="both"/>
            </w:pPr>
            <w:r>
              <w:rPr>
                <w:rFonts w:ascii="仿宋_GB2312" w:hAnsi="仿宋_GB2312" w:cs="仿宋_GB2312" w:eastAsia="仿宋_GB2312"/>
                <w:sz w:val="20"/>
              </w:rPr>
              <w:t>保障患者安全，移除可能造成伤害的物品，防止自伤、自杀或伤人事件发生。</w:t>
            </w:r>
          </w:p>
          <w:p>
            <w:pPr>
              <w:pStyle w:val="null3"/>
              <w:jc w:val="both"/>
            </w:pPr>
            <w:r>
              <w:rPr>
                <w:rFonts w:ascii="仿宋_GB2312" w:hAnsi="仿宋_GB2312" w:cs="仿宋_GB2312" w:eastAsia="仿宋_GB2312"/>
                <w:sz w:val="20"/>
              </w:rPr>
              <w:t>监督服药，确保患者按医嘱定时、定量服药，避免漏服、多服或自行停药。</w:t>
            </w:r>
          </w:p>
          <w:p>
            <w:pPr>
              <w:pStyle w:val="null3"/>
              <w:jc w:val="both"/>
            </w:pPr>
            <w:r>
              <w:rPr>
                <w:rFonts w:ascii="仿宋_GB2312" w:hAnsi="仿宋_GB2312" w:cs="仿宋_GB2312" w:eastAsia="仿宋_GB2312"/>
                <w:sz w:val="20"/>
              </w:rPr>
              <w:t>给予心理支持，尊重、理解患者，鼓励其表达感受，帮助树立治疗信心。</w:t>
            </w:r>
          </w:p>
          <w:p>
            <w:pPr>
              <w:pStyle w:val="null3"/>
              <w:jc w:val="both"/>
            </w:pPr>
            <w:r>
              <w:rPr>
                <w:rFonts w:ascii="仿宋_GB2312" w:hAnsi="仿宋_GB2312" w:cs="仿宋_GB2312" w:eastAsia="仿宋_GB2312"/>
                <w:sz w:val="20"/>
              </w:rPr>
              <w:t>合理安排生活，保证患者规律作息、均衡饮食和适度运动。</w:t>
            </w:r>
          </w:p>
          <w:p>
            <w:pPr>
              <w:pStyle w:val="null3"/>
              <w:jc w:val="both"/>
            </w:pPr>
            <w:r>
              <w:rPr>
                <w:rFonts w:ascii="仿宋_GB2312" w:hAnsi="仿宋_GB2312" w:cs="仿宋_GB2312" w:eastAsia="仿宋_GB2312"/>
                <w:sz w:val="20"/>
              </w:rPr>
              <w:t>鼓励社交活动，根据患者情况，鼓励其与他人交往，融入社会。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失能老人照顾</w:t>
            </w:r>
          </w:p>
          <w:p>
            <w:pPr>
              <w:pStyle w:val="null3"/>
              <w:jc w:val="both"/>
            </w:pPr>
            <w:r>
              <w:rPr>
                <w:rFonts w:ascii="仿宋_GB2312" w:hAnsi="仿宋_GB2312" w:cs="仿宋_GB2312" w:eastAsia="仿宋_GB2312"/>
                <w:sz w:val="20"/>
              </w:rPr>
              <w:t>照顾卧床病人护理包括多方面，如日常清洁、饮食、并发症预防等。</w:t>
            </w:r>
          </w:p>
          <w:p>
            <w:pPr>
              <w:pStyle w:val="null3"/>
              <w:jc w:val="both"/>
            </w:pPr>
            <w:r>
              <w:rPr>
                <w:rFonts w:ascii="仿宋_GB2312" w:hAnsi="仿宋_GB2312" w:cs="仿宋_GB2312" w:eastAsia="仿宋_GB2312"/>
                <w:sz w:val="20"/>
                <w:b/>
              </w:rPr>
              <w:t>日常清洁：</w:t>
            </w:r>
            <w:r>
              <w:rPr>
                <w:rFonts w:ascii="仿宋_GB2312" w:hAnsi="仿宋_GB2312" w:cs="仿宋_GB2312" w:eastAsia="仿宋_GB2312"/>
                <w:sz w:val="20"/>
              </w:rPr>
              <w:t>定期帮病人擦身、洗头，保持皮肤干爽，同时做好口腔和会阴部清洁。</w:t>
            </w:r>
          </w:p>
          <w:p>
            <w:pPr>
              <w:pStyle w:val="null3"/>
              <w:jc w:val="both"/>
            </w:pPr>
            <w:r>
              <w:rPr>
                <w:rFonts w:ascii="仿宋_GB2312" w:hAnsi="仿宋_GB2312" w:cs="仿宋_GB2312" w:eastAsia="仿宋_GB2312"/>
                <w:sz w:val="20"/>
                <w:b/>
              </w:rPr>
              <w:t>饮食护理：</w:t>
            </w:r>
            <w:r>
              <w:rPr>
                <w:rFonts w:ascii="仿宋_GB2312" w:hAnsi="仿宋_GB2312" w:cs="仿宋_GB2312" w:eastAsia="仿宋_GB2312"/>
                <w:sz w:val="20"/>
              </w:rPr>
              <w:t>依据病人病情和身体状况安排饮食，保证营养均衡。多给富含膳食纤维的食物，以防便秘。</w:t>
            </w:r>
          </w:p>
          <w:p>
            <w:pPr>
              <w:pStyle w:val="null3"/>
              <w:jc w:val="both"/>
            </w:pPr>
            <w:r>
              <w:rPr>
                <w:rFonts w:ascii="仿宋_GB2312" w:hAnsi="仿宋_GB2312" w:cs="仿宋_GB2312" w:eastAsia="仿宋_GB2312"/>
                <w:sz w:val="20"/>
                <w:b/>
              </w:rPr>
              <w:t>预防并发症：</w:t>
            </w:r>
            <w:r>
              <w:rPr>
                <w:rFonts w:ascii="仿宋_GB2312" w:hAnsi="仿宋_GB2312" w:cs="仿宋_GB2312" w:eastAsia="仿宋_GB2312"/>
                <w:sz w:val="20"/>
              </w:rPr>
              <w:t>定时帮病人翻身、拍背，避免褥疮和肺部感染。鼓励病人主动活动肢体，或帮其做被动运动，防止肌肉萎缩和关节僵硬。</w:t>
            </w:r>
          </w:p>
          <w:p>
            <w:pPr>
              <w:pStyle w:val="null3"/>
              <w:jc w:val="both"/>
            </w:pPr>
            <w:r>
              <w:rPr>
                <w:rFonts w:ascii="仿宋_GB2312" w:hAnsi="仿宋_GB2312" w:cs="仿宋_GB2312" w:eastAsia="仿宋_GB2312"/>
                <w:sz w:val="20"/>
                <w:b/>
              </w:rPr>
              <w:t>心理关怀：</w:t>
            </w:r>
            <w:r>
              <w:rPr>
                <w:rFonts w:ascii="仿宋_GB2312" w:hAnsi="仿宋_GB2312" w:cs="仿宋_GB2312" w:eastAsia="仿宋_GB2312"/>
                <w:sz w:val="20"/>
              </w:rPr>
              <w:t>多和病人交流，了解其心理需求，缓解不良情绪。</w:t>
            </w:r>
          </w:p>
          <w:p>
            <w:pPr>
              <w:pStyle w:val="null3"/>
              <w:jc w:val="both"/>
            </w:pPr>
            <w:r>
              <w:rPr>
                <w:rFonts w:ascii="仿宋_GB2312" w:hAnsi="仿宋_GB2312" w:cs="仿宋_GB2312" w:eastAsia="仿宋_GB2312"/>
                <w:sz w:val="20"/>
                <w:b/>
              </w:rPr>
              <w:t>病情观察：</w:t>
            </w:r>
            <w:r>
              <w:rPr>
                <w:rFonts w:ascii="仿宋_GB2312" w:hAnsi="仿宋_GB2312" w:cs="仿宋_GB2312" w:eastAsia="仿宋_GB2312"/>
                <w:sz w:val="20"/>
              </w:rPr>
              <w:t>留意病人生命体征、精神状态和症状变化，若有异常及时就</w:t>
            </w:r>
            <w:r>
              <w:rPr>
                <w:rFonts w:ascii="仿宋_GB2312" w:hAnsi="仿宋_GB2312" w:cs="仿宋_GB2312" w:eastAsia="仿宋_GB2312"/>
                <w:sz w:val="20"/>
              </w:rPr>
              <w:t>找医生。</w:t>
            </w:r>
          </w:p>
          <w:p>
            <w:pPr>
              <w:pStyle w:val="null3"/>
              <w:jc w:val="both"/>
            </w:pPr>
            <w:r>
              <w:rPr>
                <w:rFonts w:ascii="仿宋_GB2312" w:hAnsi="仿宋_GB2312" w:cs="仿宋_GB2312" w:eastAsia="仿宋_GB2312"/>
                <w:sz w:val="20"/>
                <w:b/>
              </w:rPr>
              <w:t>饮食护理</w:t>
            </w:r>
          </w:p>
          <w:p>
            <w:pPr>
              <w:pStyle w:val="null3"/>
              <w:jc w:val="both"/>
            </w:pPr>
            <w:r>
              <w:rPr>
                <w:rFonts w:ascii="仿宋_GB2312" w:hAnsi="仿宋_GB2312" w:cs="仿宋_GB2312" w:eastAsia="仿宋_GB2312"/>
                <w:sz w:val="20"/>
                <w:b/>
              </w:rPr>
              <w:t>食物改造：</w:t>
            </w:r>
            <w:r>
              <w:rPr>
                <w:rFonts w:ascii="仿宋_GB2312" w:hAnsi="仿宋_GB2312" w:cs="仿宋_GB2312" w:eastAsia="仿宋_GB2312"/>
                <w:sz w:val="20"/>
              </w:rPr>
              <w:t>选择软食型食物，如蒸蛋、豆腐、烂面条、粥等，可加入肉末、蔬菜泥。也可将饭菜打成糊状，如鸡肉</w:t>
            </w:r>
            <w:r>
              <w:rPr>
                <w:rFonts w:ascii="仿宋_GB2312" w:hAnsi="仿宋_GB2312" w:cs="仿宋_GB2312" w:eastAsia="仿宋_GB2312"/>
                <w:sz w:val="20"/>
              </w:rPr>
              <w:t>+米饭+胡萝卜糊。避免年糕、汤圆等易粘喉的食物，以及坚果等易呛入气管的</w:t>
            </w:r>
            <w:r>
              <w:rPr>
                <w:rFonts w:ascii="仿宋_GB2312" w:hAnsi="仿宋_GB2312" w:cs="仿宋_GB2312" w:eastAsia="仿宋_GB2312"/>
                <w:sz w:val="20"/>
              </w:rPr>
              <w:t>食物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营养补充：</w:t>
            </w:r>
            <w:r>
              <w:rPr>
                <w:rFonts w:ascii="仿宋_GB2312" w:hAnsi="仿宋_GB2312" w:cs="仿宋_GB2312" w:eastAsia="仿宋_GB2312"/>
                <w:sz w:val="20"/>
              </w:rPr>
              <w:t>保证高蛋白食物的摄入，如鸡蛋、牛奶、鱼肉等，以预防肌肉萎缩。多吃南瓜、红薯、燕麦等富含膳食纤维的食物，防止便秘。必要时可补充营养粉，如全安素、</w:t>
            </w:r>
            <w:r>
              <w:rPr>
                <w:rFonts w:ascii="仿宋_GB2312" w:hAnsi="仿宋_GB2312" w:cs="仿宋_GB2312" w:eastAsia="仿宋_GB2312"/>
                <w:sz w:val="20"/>
              </w:rPr>
              <w:t>Ensure等。</w:t>
            </w:r>
          </w:p>
          <w:p>
            <w:pPr>
              <w:pStyle w:val="null3"/>
              <w:jc w:val="both"/>
            </w:pPr>
            <w:r>
              <w:rPr>
                <w:rFonts w:ascii="仿宋_GB2312" w:hAnsi="仿宋_GB2312" w:cs="仿宋_GB2312" w:eastAsia="仿宋_GB2312"/>
                <w:sz w:val="20"/>
                <w:b/>
              </w:rPr>
              <w:t>皮肤护理：</w:t>
            </w:r>
            <w:r>
              <w:rPr>
                <w:rFonts w:ascii="仿宋_GB2312" w:hAnsi="仿宋_GB2312" w:cs="仿宋_GB2312" w:eastAsia="仿宋_GB2312"/>
                <w:sz w:val="20"/>
              </w:rPr>
              <w:t>每次便后用温水和温和肥皂清洗，避免用力擦拭。涂抹护臀霜，如氧化锌软膏，预防尿布疹。</w:t>
            </w:r>
            <w:r>
              <w:rPr>
                <w:rFonts w:ascii="仿宋_GB2312" w:hAnsi="仿宋_GB2312" w:cs="仿宋_GB2312" w:eastAsia="仿宋_GB2312"/>
                <w:sz w:val="20"/>
              </w:rPr>
              <w:t>管理病人的排泄问题，</w:t>
            </w:r>
            <w:r>
              <w:rPr>
                <w:rFonts w:ascii="仿宋_GB2312" w:hAnsi="仿宋_GB2312" w:cs="仿宋_GB2312" w:eastAsia="仿宋_GB2312"/>
                <w:sz w:val="20"/>
              </w:rPr>
              <w:t>调整生物钟</w:t>
            </w:r>
            <w:r>
              <w:rPr>
                <w:rFonts w:ascii="仿宋_GB2312" w:hAnsi="仿宋_GB2312" w:cs="仿宋_GB2312" w:eastAsia="仿宋_GB2312"/>
                <w:sz w:val="20"/>
              </w:rPr>
              <w:t>，让病人有充足</w:t>
            </w:r>
            <w:r>
              <w:rPr>
                <w:rFonts w:ascii="仿宋_GB2312" w:hAnsi="仿宋_GB2312" w:cs="仿宋_GB2312" w:eastAsia="仿宋_GB2312"/>
                <w:sz w:val="20"/>
              </w:rPr>
              <w:t>的</w:t>
            </w:r>
            <w:r>
              <w:rPr>
                <w:rFonts w:ascii="仿宋_GB2312" w:hAnsi="仿宋_GB2312" w:cs="仿宋_GB2312" w:eastAsia="仿宋_GB2312"/>
                <w:sz w:val="20"/>
              </w:rPr>
              <w:t>睡眠</w:t>
            </w:r>
            <w:r>
              <w:rPr>
                <w:rFonts w:ascii="仿宋_GB2312" w:hAnsi="仿宋_GB2312" w:cs="仿宋_GB2312" w:eastAsia="仿宋_GB2312"/>
                <w:sz w:val="20"/>
              </w:rPr>
              <w:t>和</w:t>
            </w:r>
            <w:r>
              <w:rPr>
                <w:rFonts w:ascii="仿宋_GB2312" w:hAnsi="仿宋_GB2312" w:cs="仿宋_GB2312" w:eastAsia="仿宋_GB2312"/>
                <w:sz w:val="20"/>
              </w:rPr>
              <w:t>休息。</w:t>
            </w:r>
          </w:p>
          <w:p>
            <w:pPr>
              <w:pStyle w:val="null3"/>
              <w:jc w:val="both"/>
            </w:pPr>
            <w:r>
              <w:rPr>
                <w:rFonts w:ascii="仿宋_GB2312" w:hAnsi="仿宋_GB2312" w:cs="仿宋_GB2312" w:eastAsia="仿宋_GB2312"/>
                <w:sz w:val="20"/>
                <w:b/>
              </w:rPr>
              <w:t>改善睡眠环境：</w:t>
            </w:r>
            <w:r>
              <w:rPr>
                <w:rFonts w:ascii="仿宋_GB2312" w:hAnsi="仿宋_GB2312" w:cs="仿宋_GB2312" w:eastAsia="仿宋_GB2312"/>
                <w:sz w:val="20"/>
              </w:rPr>
              <w:t>夜间照护</w:t>
            </w:r>
            <w:r>
              <w:rPr>
                <w:rFonts w:ascii="仿宋_GB2312" w:hAnsi="仿宋_GB2312" w:cs="仿宋_GB2312" w:eastAsia="仿宋_GB2312"/>
                <w:sz w:val="20"/>
              </w:rPr>
              <w:t>，</w:t>
            </w:r>
            <w:r>
              <w:rPr>
                <w:rFonts w:ascii="仿宋_GB2312" w:hAnsi="仿宋_GB2312" w:cs="仿宋_GB2312" w:eastAsia="仿宋_GB2312"/>
                <w:sz w:val="20"/>
              </w:rPr>
              <w:t>睡前少喝水，减少夜尿。使用暖光夜灯，避免强光刺激清醒。</w:t>
            </w:r>
          </w:p>
          <w:p>
            <w:pPr>
              <w:pStyle w:val="null3"/>
              <w:jc w:val="both"/>
            </w:pPr>
            <w:r>
              <w:rPr>
                <w:rFonts w:ascii="仿宋_GB2312" w:hAnsi="仿宋_GB2312" w:cs="仿宋_GB2312" w:eastAsia="仿宋_GB2312"/>
                <w:sz w:val="20"/>
                <w:b/>
              </w:rPr>
              <w:t>健康维护</w:t>
            </w:r>
          </w:p>
          <w:p>
            <w:pPr>
              <w:pStyle w:val="null3"/>
              <w:jc w:val="both"/>
            </w:pPr>
            <w:r>
              <w:rPr>
                <w:rFonts w:ascii="仿宋_GB2312" w:hAnsi="仿宋_GB2312" w:cs="仿宋_GB2312" w:eastAsia="仿宋_GB2312"/>
                <w:sz w:val="20"/>
                <w:b/>
              </w:rPr>
              <w:t>防褥疮：</w:t>
            </w:r>
            <w:r>
              <w:rPr>
                <w:rFonts w:ascii="仿宋_GB2312" w:hAnsi="仿宋_GB2312" w:cs="仿宋_GB2312" w:eastAsia="仿宋_GB2312"/>
                <w:sz w:val="20"/>
              </w:rPr>
              <w:t>每</w:t>
            </w:r>
            <w:r>
              <w:rPr>
                <w:rFonts w:ascii="仿宋_GB2312" w:hAnsi="仿宋_GB2312" w:cs="仿宋_GB2312" w:eastAsia="仿宋_GB2312"/>
                <w:sz w:val="20"/>
              </w:rPr>
              <w:t>2小时翻身一次，从左侧→平躺→右侧。骨突处重点保护，如骶尾、脚跟、肘部垫软枕。使用气垫床和硅胶坐垫。</w:t>
            </w:r>
          </w:p>
          <w:p>
            <w:pPr>
              <w:pStyle w:val="null3"/>
              <w:jc w:val="both"/>
            </w:pPr>
            <w:r>
              <w:rPr>
                <w:rFonts w:ascii="仿宋_GB2312" w:hAnsi="仿宋_GB2312" w:cs="仿宋_GB2312" w:eastAsia="仿宋_GB2312"/>
                <w:sz w:val="20"/>
                <w:b/>
              </w:rPr>
              <w:t>防感染：</w:t>
            </w:r>
            <w:r>
              <w:rPr>
                <w:rFonts w:ascii="仿宋_GB2312" w:hAnsi="仿宋_GB2312" w:cs="仿宋_GB2312" w:eastAsia="仿宋_GB2312"/>
                <w:sz w:val="20"/>
              </w:rPr>
              <w:t>每天进行口腔护理，用软毛牙刷或海绵棒清洁牙齿、舌苔。若戴假牙，每晚取下清洗。每天拍背，空气加湿。</w:t>
            </w:r>
          </w:p>
          <w:p>
            <w:pPr>
              <w:pStyle w:val="null3"/>
            </w:pPr>
            <w:r>
              <w:rPr>
                <w:rFonts w:ascii="仿宋_GB2312" w:hAnsi="仿宋_GB2312" w:cs="仿宋_GB2312" w:eastAsia="仿宋_GB2312"/>
                <w:sz w:val="20"/>
                <w:b/>
              </w:rPr>
              <w:t>防肌肉萎缩：</w:t>
            </w:r>
            <w:r>
              <w:rPr>
                <w:rFonts w:ascii="仿宋_GB2312" w:hAnsi="仿宋_GB2312" w:cs="仿宋_GB2312" w:eastAsia="仿宋_GB2312"/>
                <w:sz w:val="20"/>
              </w:rPr>
              <w:t>每天进行床上运动，如脚踝蹦和抬腿练习。每天推出门晒太阳。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b/>
              </w:rPr>
              <w:t>陪护要求：</w:t>
            </w:r>
            <w:r>
              <w:rPr>
                <w:rFonts w:ascii="仿宋_GB2312" w:hAnsi="仿宋_GB2312" w:cs="仿宋_GB2312" w:eastAsia="仿宋_GB2312"/>
                <w:sz w:val="20"/>
              </w:rPr>
              <w:t>24小时一对一陪护，</w:t>
            </w:r>
            <w:r>
              <w:rPr>
                <w:rFonts w:ascii="仿宋_GB2312" w:hAnsi="仿宋_GB2312" w:cs="仿宋_GB2312" w:eastAsia="仿宋_GB2312"/>
                <w:sz w:val="20"/>
              </w:rPr>
              <w:t>包含住院老人三餐餐食。</w:t>
            </w:r>
            <w:r>
              <w:rPr>
                <w:rFonts w:ascii="仿宋_GB2312" w:hAnsi="仿宋_GB2312" w:cs="仿宋_GB2312" w:eastAsia="仿宋_GB2312"/>
                <w:sz w:val="20"/>
              </w:rPr>
              <w:t>病人不能出现压疮，摔倒</w:t>
            </w:r>
            <w:r>
              <w:rPr>
                <w:rFonts w:ascii="仿宋_GB2312" w:hAnsi="仿宋_GB2312" w:cs="仿宋_GB2312" w:eastAsia="仿宋_GB2312"/>
                <w:sz w:val="20"/>
              </w:rPr>
              <w:t>。</w:t>
            </w:r>
            <w:r>
              <w:rPr>
                <w:rFonts w:ascii="仿宋_GB2312" w:hAnsi="仿宋_GB2312" w:cs="仿宋_GB2312" w:eastAsia="仿宋_GB2312"/>
                <w:sz w:val="20"/>
              </w:rPr>
              <w:t>在陪护过程中，要尊重病人的人格和尊严，不能有语言上的辱骂、贬低，或是肢体上的侮辱、鄙视行为。陪护的核心是给予病人关怀、理解和支持，耐心和包容才是陪护过程中最该秉持的态度。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b/>
              </w:rPr>
              <w:t>磋商报价要求：</w:t>
            </w:r>
            <w:r>
              <w:rPr>
                <w:rFonts w:ascii="仿宋_GB2312" w:hAnsi="仿宋_GB2312" w:cs="仿宋_GB2312" w:eastAsia="仿宋_GB2312"/>
                <w:sz w:val="20"/>
              </w:rPr>
              <w:t>本项目磋商总报价为全包制，服务期为</w:t>
            </w:r>
            <w:r>
              <w:rPr>
                <w:rFonts w:ascii="仿宋_GB2312" w:hAnsi="仿宋_GB2312" w:cs="仿宋_GB2312" w:eastAsia="仿宋_GB2312"/>
                <w:sz w:val="20"/>
              </w:rPr>
              <w:t>1年，各类陪护人员单次（天）护理价不得超过下列表格中单次（天）护理价格，护理次数以采购人要求为准。</w:t>
            </w:r>
          </w:p>
          <w:tbl>
            <w:tblPr>
              <w:tblBorders>
                <w:top w:val="none" w:color="000000" w:sz="4"/>
                <w:left w:val="none" w:color="000000" w:sz="4"/>
                <w:bottom w:val="none" w:color="000000" w:sz="4"/>
                <w:right w:val="none" w:color="000000" w:sz="4"/>
                <w:insideH w:val="none"/>
                <w:insideV w:val="none"/>
              </w:tblBorders>
            </w:tblPr>
            <w:tblGrid>
              <w:gridCol w:w="187"/>
              <w:gridCol w:w="187"/>
              <w:gridCol w:w="544"/>
              <w:gridCol w:w="212"/>
              <w:gridCol w:w="219"/>
              <w:gridCol w:w="281"/>
              <w:gridCol w:w="500"/>
              <w:gridCol w:w="400"/>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类别</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金额（小写）元</w:t>
                  </w:r>
                  <w:r>
                    <w:rPr>
                      <w:rFonts w:ascii="仿宋_GB2312" w:hAnsi="仿宋_GB2312" w:cs="仿宋_GB2312" w:eastAsia="仿宋_GB2312"/>
                      <w:sz w:val="20"/>
                      <w:color w:val="000000"/>
                    </w:rPr>
                    <w:t>/天</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8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医院陪护</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半自理病人陪护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0.00</w:t>
                  </w:r>
                </w:p>
              </w:tc>
              <w:tc>
                <w:tcPr>
                  <w:tcW w:type="dxa" w:w="4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24小时 ，一对一陪护</w:t>
                  </w:r>
                  <w:r>
                    <w:rPr>
                      <w:rFonts w:ascii="仿宋_GB2312" w:hAnsi="仿宋_GB2312" w:cs="仿宋_GB2312" w:eastAsia="仿宋_GB2312"/>
                      <w:sz w:val="20"/>
                      <w:color w:val="000000"/>
                    </w:rPr>
                    <w:t>（包含</w:t>
                  </w:r>
                  <w:r>
                    <w:rPr>
                      <w:rFonts w:ascii="仿宋_GB2312" w:hAnsi="仿宋_GB2312" w:cs="仿宋_GB2312" w:eastAsia="仿宋_GB2312"/>
                      <w:sz w:val="20"/>
                    </w:rPr>
                    <w:t>住院老人三餐</w:t>
                  </w:r>
                  <w:r>
                    <w:rPr>
                      <w:rFonts w:ascii="仿宋_GB2312" w:hAnsi="仿宋_GB2312" w:cs="仿宋_GB2312" w:eastAsia="仿宋_GB2312"/>
                      <w:sz w:val="20"/>
                      <w:color w:val="000000"/>
                    </w:rPr>
                    <w:t>餐食）</w:t>
                  </w:r>
                </w:p>
                <w:p>
                  <w:pPr>
                    <w:pStyle w:val="null3"/>
                    <w:jc w:val="center"/>
                  </w:pPr>
                </w:p>
              </w:tc>
            </w:tr>
            <w:tr>
              <w:tc>
                <w:tcPr>
                  <w:tcW w:type="dxa" w:w="187"/>
                  <w:vMerge/>
                  <w:tcBorders>
                    <w:top w:val="none" w:color="000000" w:sz="4"/>
                    <w:left w:val="single" w:color="000000" w:sz="4"/>
                    <w:bottom w:val="none" w:color="000000" w:sz="4"/>
                    <w:right w:val="single" w:color="000000" w:sz="4"/>
                  </w:tcBorders>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失能病人陪护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170</w:t>
                  </w:r>
                  <w:r>
                    <w:rPr>
                      <w:rFonts w:ascii="仿宋_GB2312" w:hAnsi="仿宋_GB2312" w:cs="仿宋_GB2312" w:eastAsia="仿宋_GB2312"/>
                      <w:sz w:val="20"/>
                      <w:color w:val="000000"/>
                    </w:rPr>
                    <w:t>.00</w:t>
                  </w:r>
                </w:p>
              </w:tc>
              <w:tc>
                <w:tcPr>
                  <w:tcW w:type="dxa" w:w="400"/>
                  <w:vMerge/>
                  <w:tcBorders>
                    <w:top w:val="non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none" w:color="000000" w:sz="4"/>
                    <w:right w:val="single" w:color="000000" w:sz="4"/>
                  </w:tcBorders>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自理病人陪护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130</w:t>
                  </w:r>
                  <w:r>
                    <w:rPr>
                      <w:rFonts w:ascii="仿宋_GB2312" w:hAnsi="仿宋_GB2312" w:cs="仿宋_GB2312" w:eastAsia="仿宋_GB2312"/>
                      <w:sz w:val="20"/>
                      <w:color w:val="000000"/>
                    </w:rPr>
                    <w:t>.00</w:t>
                  </w:r>
                </w:p>
              </w:tc>
              <w:tc>
                <w:tcPr>
                  <w:tcW w:type="dxa" w:w="400"/>
                  <w:vMerge/>
                  <w:tcBorders>
                    <w:top w:val="none" w:color="000000" w:sz="4"/>
                    <w:left w:val="none" w:color="000000" w:sz="4"/>
                    <w:bottom w:val="none" w:color="000000" w:sz="4"/>
                    <w:right w:val="single" w:color="000000" w:sz="4"/>
                  </w:tcBorders>
                </w:tcPr>
                <w:p/>
              </w:tc>
            </w:tr>
            <w:tr>
              <w:tc>
                <w:tcPr>
                  <w:tcW w:type="dxa" w:w="187"/>
                  <w:vMerge/>
                  <w:tcBorders>
                    <w:top w:val="none" w:color="000000" w:sz="4"/>
                    <w:left w:val="single" w:color="000000" w:sz="4"/>
                    <w:bottom w:val="none" w:color="000000" w:sz="4"/>
                    <w:right w:val="single" w:color="000000" w:sz="4"/>
                  </w:tcBorders>
                </w:tcP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出</w:t>
                  </w:r>
                  <w:r>
                    <w:rPr>
                      <w:rFonts w:ascii="仿宋_GB2312" w:hAnsi="仿宋_GB2312" w:cs="仿宋_GB2312" w:eastAsia="仿宋_GB2312"/>
                      <w:sz w:val="20"/>
                      <w:color w:val="000000"/>
                    </w:rPr>
                    <w:t>宁强</w:t>
                  </w:r>
                  <w:r>
                    <w:rPr>
                      <w:rFonts w:ascii="仿宋_GB2312" w:hAnsi="仿宋_GB2312" w:cs="仿宋_GB2312" w:eastAsia="仿宋_GB2312"/>
                      <w:sz w:val="20"/>
                      <w:color w:val="000000"/>
                    </w:rPr>
                    <w:t>县</w:t>
                  </w:r>
                  <w:r>
                    <w:rPr>
                      <w:rFonts w:ascii="仿宋_GB2312" w:hAnsi="仿宋_GB2312" w:cs="仿宋_GB2312" w:eastAsia="仿宋_GB2312"/>
                      <w:sz w:val="20"/>
                      <w:color w:val="000000"/>
                    </w:rPr>
                    <w:t>以外</w:t>
                  </w:r>
                  <w:r>
                    <w:rPr>
                      <w:rFonts w:ascii="仿宋_GB2312" w:hAnsi="仿宋_GB2312" w:cs="仿宋_GB2312" w:eastAsia="仿宋_GB2312"/>
                      <w:sz w:val="20"/>
                      <w:color w:val="000000"/>
                    </w:rPr>
                    <w:t>医院</w:t>
                  </w:r>
                  <w:r>
                    <w:rPr>
                      <w:rFonts w:ascii="仿宋_GB2312" w:hAnsi="仿宋_GB2312" w:cs="仿宋_GB2312" w:eastAsia="仿宋_GB2312"/>
                      <w:sz w:val="20"/>
                      <w:color w:val="000000"/>
                    </w:rPr>
                    <w:t>病人陪护</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天</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210.00</w:t>
                  </w:r>
                </w:p>
              </w:tc>
              <w:tc>
                <w:tcPr>
                  <w:tcW w:type="dxa" w:w="400"/>
                  <w:vMerge/>
                  <w:tcBorders>
                    <w:top w:val="none" w:color="000000" w:sz="4"/>
                    <w:left w:val="none" w:color="000000" w:sz="4"/>
                    <w:bottom w:val="none" w:color="000000" w:sz="4"/>
                    <w:right w:val="single" w:color="000000" w:sz="4"/>
                  </w:tcBorders>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服务期满，服务过程满足采购人需求。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合同签订后，服务期满一半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项目履约结束，验收合格，所有资料归档，审计结束</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违约责任在合同专用条款中约定；解决争议首先采取协商的方式，如协商不成则可以到宁强县人民法院起诉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人在中标结果发布后3个工作日内向代理机构提交纸质版投标文件以便于存档，响应文件正本1份，副本2份，电子版文件2份（以U盘为载体，电子版内容为签章齐全的PDF版本投标文件）。纸质响应文件均须A4纸打印，分别各自装订成册并编制目录和页码。 2.线下递交响应文件地点： 陕西省汉中市南郑区渔营路与江古路十字路口凯奇酒店东侧二楼商铺。 3.如投标文件中融资相关内容与新政策要求有出入，按照最新要求执行。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供应商应提交的相关资格证明材料（1）.docx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按照汉中市财政局《关 于全面推行政府采购供应商基本资格条件承诺制的通知》（汉采办采管〔2024〕20 号）文件 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业绩（1）.docx 中小企业声明函 残疾人福利性单位声明函 商务应答表 服务方案 标的清单 响应函 供应商应提交的相关资格证明材料（1）.docx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要求对磋商文件全面响应，无遗漏。</w:t>
            </w:r>
          </w:p>
        </w:tc>
        <w:tc>
          <w:tcPr>
            <w:tcW w:type="dxa" w:w="1661"/>
          </w:tcPr>
          <w:p>
            <w:pPr>
              <w:pStyle w:val="null3"/>
            </w:pPr>
            <w:r>
              <w:rPr>
                <w:rFonts w:ascii="仿宋_GB2312" w:hAnsi="仿宋_GB2312" w:cs="仿宋_GB2312" w:eastAsia="仿宋_GB2312"/>
              </w:rPr>
              <w:t>响应文件封面 业绩（1）.docx 服务内容及服务邀请应答表 中小企业声明函 残疾人福利性单位声明函 商务应答表 服务方案 标的清单 响应函 供应商应提交的相关资格证明材料（1）.docx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 内容包含但不限于：①项目内容了解和分析、②现状概况、工作内容理解与分析、③本项目重点难点分析并提出解决措施。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供应商针对本项目提供项目服务方案，内容包含但不限于：①整体服务方案、②针对节假日的保障服务方案、③结合采购内容制定 4类人员护理方案等相关内容。二、赋分标准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具有岗位工作标准、服务质量标准、现场质量控制体系、②内控制度:管理组织机构、问责机制、监督机制、自查制度、③人员管理制度:具有员工日常管理办法、请销假制度、奖惩措施、激励机制、仪容仪表制度。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一、评审内容：供应商针对本项目提供应急预案，内容包含但不限于：①突发事件解决措施、②紧急故障处理预案、③应急服务响应时间等相关内容。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等业务流程等相关内容。 二、赋分标准 ：（1）方案内容完整全面，对上述各项内容均有描述及说明，得3分；缺1项，得2分；缺2项，得1分；未提供不得分。（2）针对性：针对性强，得3分；针对性一般，得1.5分；缺乏针对性不得分。 （3）可实施性：可实施性强得6分；可实施性一般得3分；缺乏可实施性，得0分。（4）不提供此项的不得分。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一、评审内容：供应商针对本项目制定详细、具体、可行的质量管理及保障方案，内容包含但不限于：①服务质量保障措施及考核标准、②环境卫生保障方案、③回访制度和投诉处理机制等。 二、赋分标准 ：（1）方案内容完整全面，对上述各项内容均有描述及说明，得3分；缺1项，得2分；缺2项，得1分；未提供不得分。（2）针对性：针对性强，得3分；针对性一般，得1.5分；缺乏针对性不得分。（3）可实施性：可实施性强得6分；可实施性一般得3分；缺乏可实施性，得0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特困人员照料服务方案</w:t>
            </w:r>
          </w:p>
        </w:tc>
        <w:tc>
          <w:tcPr>
            <w:tcW w:type="dxa" w:w="2492"/>
          </w:tcPr>
          <w:p>
            <w:pPr>
              <w:pStyle w:val="null3"/>
            </w:pPr>
            <w:r>
              <w:rPr>
                <w:rFonts w:ascii="仿宋_GB2312" w:hAnsi="仿宋_GB2312" w:cs="仿宋_GB2312" w:eastAsia="仿宋_GB2312"/>
              </w:rPr>
              <w:t>一、评审内容： 供应商针对本项目提供特困人员陪护服务方案，内容包含但不限于：①特困人员照料服务周期规划及合理安排方案、②特困人员照料后续跟踪服务方案。 二、赋分标准 ：（1）方案内容完整全面，对上述各项内容均有描述及说明，得2分；缺1项，得1分；未提供不得分。（2）针对性：针对性强，得2分；针对性一般，得1分；缺乏针对性不得分。 （3）可实施性：可实施性强得4分；可实施性一般得2分；缺乏可实施性，得0分。（4）不提供此项的不得分。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一、评审内容：供应商具有本地化服务能力，在项目所在地有常驻的服务机构或在项目所在地有分公司或办事处等作为常驻服务和技术支持机构（提供包括但不限于本地工商注册资料以及距采购人最近的服务网点情况表、人员名单、联系方式等具备售后服务能力的相关证明材料并提供本地化服务方案）。 二、赋分标准 ：（1）方案内容完整全面，对上述各项内容均有描述及说明，得1分；未提供不得分。（2）针对性：针对性强，得1分；针对性一般，得0.5分；缺乏针对性不得分。 （3）可实施性：可实施性强得2分；可实施性一般得1分；缺乏可实施性，得0分。（4）不提供此项的不得分。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一、评审内容：针对本项目提供人员配备方案，内容包含但不限于：人员配备情况及人员配备方案等相关内容。 二、赋分标准 ：（1）方案内容完整全面，对上述各项内容均有描述及说明，得1分；未提供不得分。（2）针对性：针对性强，得1分；针对性一般，得0.5分；缺乏针对性不得分。 （3）可实施性：可实施性强得2分；可实施性一般得1分；缺乏可实施性，得0分。（4）不提供此项的不得分。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供应商提供至今完成的类似项目业绩证明，每提供一份得2分，最高得2分； 注：业绩须是供应商完成的同类项目，以中标通知书或协议书（合同）加盖公章的复印件为准，否则此项将不得分。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