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版本号：JXRZ-HC-2026-04320260430001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移动DR设备采购项目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JXRZ-HC-2026-043</w:t>
      </w:r>
      <w:r>
        <w:br/>
      </w:r>
      <w:r>
        <w:br/>
      </w:r>
      <w:r>
        <w:br/>
      </w:r>
    </w:p>
    <w:p>
      <w:pPr>
        <w:pStyle w:val="null3"/>
        <w:jc w:val="center"/>
        <w:outlineLvl w:val="2"/>
      </w:pPr>
      <w:r>
        <w:rPr>
          <w:rFonts w:ascii="仿宋_GB2312" w:hAnsi="仿宋_GB2312" w:cs="仿宋_GB2312" w:eastAsia="仿宋_GB2312"/>
          <w:sz w:val="28"/>
          <w:b/>
        </w:rPr>
        <w:t>宁强县大安镇中心卫生院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宁强县大安镇中心卫生院</w:t>
      </w:r>
      <w:r>
        <w:rPr>
          <w:rFonts w:ascii="仿宋_GB2312" w:hAnsi="仿宋_GB2312" w:cs="仿宋_GB2312" w:eastAsia="仿宋_GB2312"/>
        </w:rPr>
        <w:t>委托，拟对</w:t>
      </w:r>
      <w:r>
        <w:rPr>
          <w:rFonts w:ascii="仿宋_GB2312" w:hAnsi="仿宋_GB2312" w:cs="仿宋_GB2312" w:eastAsia="仿宋_GB2312"/>
        </w:rPr>
        <w:t>移动DR设备采购项目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移动DR设备采购项目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采购车载型移动DR设备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谈判授权代表：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证书：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w:t>
      </w:r>
    </w:p>
    <w:p>
      <w:pPr>
        <w:pStyle w:val="null3"/>
      </w:pPr>
      <w:r>
        <w:rPr>
          <w:rFonts w:ascii="仿宋_GB2312" w:hAnsi="仿宋_GB2312" w:cs="仿宋_GB2312" w:eastAsia="仿宋_GB2312"/>
        </w:rPr>
        <w:t>5、车辆许可：所供机动车辆须属于中华人民共和国工业和信息化部公告的《道路机动车辆生产企业及产品》目录内的医疗车产品。（提供所投车辆在《道路机动车辆生产企业及产品信息查询系统》查询截图及相关附件为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宁强县大安镇中心卫生院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宁强县大安镇闵家巷29号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0916-4372333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 [2002]1980号）及发改办价格[2003]857号文件规定的标准收取。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宁强县大安镇中心卫生院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宁强县大安镇中心卫生院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宁强县大安镇中心卫生院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陕西锦鑫睿泽项目管理有限公司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遵照签署合同执行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采购车载型移动DR设备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宁强县大安镇中心卫生院移动DR设备采购项目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标的名称：宁强县大安镇中心卫生院移动DR设备采购项目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37"/>
              <w:gridCol w:w="2315"/>
            </w:tblGrid>
            <w:tr>
              <w:tc>
                <w:tcPr>
                  <w:tcW w:type="dxa" w:w="2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DR体检车技术参数要求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功能：</w:t>
                  </w:r>
                  <w:r>
                    <w:rPr>
                      <w:rFonts w:ascii="仿宋_GB2312" w:hAnsi="仿宋_GB2312" w:cs="仿宋_GB2312" w:eastAsia="仿宋_GB2312"/>
                      <w:sz w:val="20"/>
                    </w:rPr>
                    <w:t>投标人所投的整车产品须是已列入工信部发布的《道路机动车辆生产企业及产品公告》目录中列明的</w:t>
                  </w:r>
                  <w:r>
                    <w:rPr>
                      <w:rFonts w:ascii="仿宋_GB2312" w:hAnsi="仿宋_GB2312" w:cs="仿宋_GB2312" w:eastAsia="仿宋_GB2312"/>
                      <w:sz w:val="20"/>
                    </w:rPr>
                    <w:t>“</w:t>
                  </w:r>
                  <w:r>
                    <w:rPr>
                      <w:rFonts w:ascii="仿宋_GB2312" w:hAnsi="仿宋_GB2312" w:cs="仿宋_GB2312" w:eastAsia="仿宋_GB2312"/>
                      <w:sz w:val="20"/>
                    </w:rPr>
                    <w:t>医疗</w:t>
                  </w:r>
                  <w:r>
                    <w:rPr>
                      <w:rFonts w:ascii="仿宋_GB2312" w:hAnsi="仿宋_GB2312" w:cs="仿宋_GB2312" w:eastAsia="仿宋_GB2312"/>
                      <w:sz w:val="20"/>
                    </w:rPr>
                    <w:t>车</w:t>
                  </w:r>
                  <w:r>
                    <w:rPr>
                      <w:rFonts w:ascii="仿宋_GB2312" w:hAnsi="仿宋_GB2312" w:cs="仿宋_GB2312" w:eastAsia="仿宋_GB2312"/>
                      <w:sz w:val="20"/>
                    </w:rPr>
                    <w:t>”车型，提供工信部公告网站截图及相关附件为证明材料。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外形尺寸：长</w:t>
                  </w:r>
                  <w:r>
                    <w:rPr>
                      <w:rFonts w:ascii="仿宋_GB2312" w:hAnsi="仿宋_GB2312" w:cs="仿宋_GB2312" w:eastAsia="仿宋_GB2312"/>
                      <w:sz w:val="20"/>
                    </w:rPr>
                    <w:t>≤5998mm、宽≤2200mm、高≤2880mm</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燃料种类：柴油</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总质量：</w:t>
                  </w:r>
                  <w:r>
                    <w:rPr>
                      <w:rFonts w:ascii="仿宋_GB2312" w:hAnsi="仿宋_GB2312" w:cs="仿宋_GB2312" w:eastAsia="仿宋_GB2312"/>
                      <w:sz w:val="20"/>
                    </w:rPr>
                    <w:t>≥4000kg</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整备质量：</w:t>
                  </w:r>
                  <w:r>
                    <w:rPr>
                      <w:rFonts w:ascii="仿宋_GB2312" w:hAnsi="仿宋_GB2312" w:cs="仿宋_GB2312" w:eastAsia="仿宋_GB2312"/>
                      <w:sz w:val="20"/>
                    </w:rPr>
                    <w:t>≥3000kg</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轴数：</w:t>
                  </w:r>
                  <w:r>
                    <w:rPr>
                      <w:rFonts w:ascii="仿宋_GB2312" w:hAnsi="仿宋_GB2312" w:cs="仿宋_GB2312" w:eastAsia="仿宋_GB2312"/>
                      <w:sz w:val="20"/>
                    </w:rPr>
                    <w:t>2</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排放标准：国</w:t>
                  </w:r>
                  <w:r>
                    <w:rPr>
                      <w:rFonts w:ascii="仿宋_GB2312" w:hAnsi="仿宋_GB2312" w:cs="仿宋_GB2312" w:eastAsia="仿宋_GB2312"/>
                      <w:sz w:val="20"/>
                    </w:rPr>
                    <w:t>Ⅵ</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★变速器</w:t>
                  </w:r>
                  <w:r>
                    <w:rPr>
                      <w:rFonts w:ascii="仿宋_GB2312" w:hAnsi="仿宋_GB2312" w:cs="仿宋_GB2312" w:eastAsia="仿宋_GB2312"/>
                      <w:sz w:val="20"/>
                    </w:rPr>
                    <w:t>：手动挡</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最高车速设计：</w:t>
                  </w:r>
                  <w:r>
                    <w:rPr>
                      <w:rFonts w:ascii="仿宋_GB2312" w:hAnsi="仿宋_GB2312" w:cs="仿宋_GB2312" w:eastAsia="仿宋_GB2312"/>
                      <w:sz w:val="20"/>
                    </w:rPr>
                    <w:t>≥100km/h</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驾驶室准乘人数</w:t>
                  </w:r>
                  <w:r>
                    <w:rPr>
                      <w:rFonts w:ascii="仿宋_GB2312" w:hAnsi="仿宋_GB2312" w:cs="仿宋_GB2312" w:eastAsia="仿宋_GB2312"/>
                      <w:sz w:val="20"/>
                    </w:rPr>
                    <w:t>/人：≥3</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车辆规格：蓝牌，</w:t>
                  </w:r>
                  <w:r>
                    <w:rPr>
                      <w:rFonts w:ascii="仿宋_GB2312" w:hAnsi="仿宋_GB2312" w:cs="仿宋_GB2312" w:eastAsia="仿宋_GB2312"/>
                      <w:sz w:val="20"/>
                    </w:rPr>
                    <w:t>C照可驾驶</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发动机功率：</w:t>
                  </w:r>
                  <w:r>
                    <w:rPr>
                      <w:rFonts w:ascii="仿宋_GB2312" w:hAnsi="仿宋_GB2312" w:cs="仿宋_GB2312" w:eastAsia="仿宋_GB2312"/>
                      <w:sz w:val="20"/>
                    </w:rPr>
                    <w:t>≥100kw</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发动机排量：</w:t>
                  </w:r>
                  <w:r>
                    <w:rPr>
                      <w:rFonts w:ascii="仿宋_GB2312" w:hAnsi="仿宋_GB2312" w:cs="仿宋_GB2312" w:eastAsia="仿宋_GB2312"/>
                      <w:sz w:val="20"/>
                    </w:rPr>
                    <w:t>≥1900ml</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1）GBZ264-2015《车载式医用X射线诊断系统的放射防护要求》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2）GBZ130-2013《医用X射线诊断放射防护要求》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3）GB1589-2016《道路车辆外廓尺寸、轴荷及质量限值》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4）GB7258-2018《机动车运行安全技术条件》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5）GB11567-2017《汽车及挂车侧面及后下部防护要求》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1）DR车选用白色、环保、阻燃材料。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2）所用的材料，不危害人体健康；</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3）所用的材料进行干燥处理，其含水率应为12%～18%；</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4）所用的木材和胶合板等均进行防腐处理。</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布线：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1）导线和电缆布设安全可靠，满足设备使用要求；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2）导线和电缆布设在线槽内，电源线和信号线分开布设，布线；</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光密封性：车内采用筒式灯照明，根据需要对光源进行管控</w:t>
                  </w:r>
                  <w:r>
                    <w:rPr>
                      <w:rFonts w:ascii="仿宋_GB2312" w:hAnsi="仿宋_GB2312" w:cs="仿宋_GB2312" w:eastAsia="仿宋_GB2312"/>
                      <w:sz w:val="20"/>
                    </w:rPr>
                    <w:t>.</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保温性：</w:t>
                  </w:r>
                  <w:r>
                    <w:rPr>
                      <w:rFonts w:ascii="仿宋_GB2312" w:hAnsi="仿宋_GB2312" w:cs="仿宋_GB2312" w:eastAsia="仿宋_GB2312"/>
                      <w:sz w:val="20"/>
                    </w:rPr>
                    <w:t>DR区、医生操作区均具备空调系统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装车设备：设备安装采用单元组合式结构</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改装设计布局说明</w:t>
                  </w:r>
                  <w:r>
                    <w:rPr>
                      <w:rFonts w:ascii="仿宋_GB2312" w:hAnsi="仿宋_GB2312" w:cs="仿宋_GB2312" w:eastAsia="仿宋_GB2312"/>
                      <w:sz w:val="20"/>
                    </w:rPr>
                    <w:t>:整个DR车分为两个区域，DR间和医生操作间，每个房间各配备一台空调，用于保证各房间的温度,医生操作区与DR区之间安装有超大铅玻璃观察窗，DR区设有独立外开门，DR区射线防护采用六面防护；医生操作区与DR区之间安装对讲系统，用于沟通；DR区门外侧顶部安装有射线指示灯，起曝光警示作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车辆改装：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1）检查区域射线防护：配备6面（上下左右前后六面）铅防护；医生侧铅防护厚度≥3.0mm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2）车内区域划分：分为DR检查区、医护操作区，两区之间完全隔离，检查区与操作区需配备铅观察窗。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车内地板处理操作舱：木板打底</w:t>
                  </w:r>
                  <w:r>
                    <w:rPr>
                      <w:rFonts w:ascii="仿宋_GB2312" w:hAnsi="仿宋_GB2312" w:cs="仿宋_GB2312" w:eastAsia="仿宋_GB2312"/>
                      <w:sz w:val="20"/>
                    </w:rPr>
                    <w:t>+车用仿木地板处理</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车内综合布线（强弱电）：配备</w:t>
                  </w:r>
                  <w:r>
                    <w:rPr>
                      <w:rFonts w:ascii="仿宋_GB2312" w:hAnsi="仿宋_GB2312" w:cs="仿宋_GB2312" w:eastAsia="仿宋_GB2312"/>
                      <w:sz w:val="20"/>
                    </w:rPr>
                    <w:t>DR设备所需的电源与信号控制走线预处理</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操作区布局：配备</w:t>
                  </w:r>
                  <w:r>
                    <w:rPr>
                      <w:rFonts w:ascii="仿宋_GB2312" w:hAnsi="仿宋_GB2312" w:cs="仿宋_GB2312" w:eastAsia="仿宋_GB2312"/>
                      <w:sz w:val="20"/>
                    </w:rPr>
                    <w:t>DR控制主机及医护人员工作席位</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设置独立的医患双通道：检查区用自动铅防护门，天地轨道，行车锁止装置</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检查区和操作区提供独立空调：配备空调装置，检查室</w:t>
                  </w:r>
                  <w:r>
                    <w:rPr>
                      <w:rFonts w:ascii="仿宋_GB2312" w:hAnsi="仿宋_GB2312" w:cs="仿宋_GB2312" w:eastAsia="仿宋_GB2312"/>
                      <w:sz w:val="20"/>
                    </w:rPr>
                    <w:t>1个，操作室1个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检查区暖风系统：独立暖风系统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车内语音对讲装置：操作区与检查区语音双向对讲系统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车内配备照明设计：照明灯、照度满足检测、休息工作要求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w:t>
                  </w:r>
                  <w:r>
                    <w:rPr>
                      <w:rFonts w:ascii="仿宋_GB2312" w:hAnsi="仿宋_GB2312" w:cs="仿宋_GB2312" w:eastAsia="仿宋_GB2312"/>
                      <w:sz w:val="20"/>
                    </w:rPr>
                    <w:t>DR车安全警示：检查室门外安装电离辐射警示标志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车内安全技术要求：提供火灾安全报警及野外工作消防措施（灭火器）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车内电路安全技术要求：提供电路过压、过载等保护措施及防浪涌装置</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系统电压：</w:t>
                  </w:r>
                  <w:r>
                    <w:rPr>
                      <w:rFonts w:ascii="仿宋_GB2312" w:hAnsi="仿宋_GB2312" w:cs="仿宋_GB2312" w:eastAsia="仿宋_GB2312"/>
                      <w:sz w:val="20"/>
                    </w:rPr>
                    <w:t>48V DC</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输入电压：宽电压输入</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输出电压：</w:t>
                  </w:r>
                  <w:r>
                    <w:rPr>
                      <w:rFonts w:ascii="仿宋_GB2312" w:hAnsi="仿宋_GB2312" w:cs="仿宋_GB2312" w:eastAsia="仿宋_GB2312"/>
                      <w:sz w:val="20"/>
                    </w:rPr>
                    <w:t>AC 220V±3%</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输出频率：</w:t>
                  </w:r>
                  <w:r>
                    <w:rPr>
                      <w:rFonts w:ascii="仿宋_GB2312" w:hAnsi="仿宋_GB2312" w:cs="仿宋_GB2312" w:eastAsia="仿宋_GB2312"/>
                      <w:sz w:val="20"/>
                    </w:rPr>
                    <w:t>50HZ</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输出波形：正弦波</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保护：过载、短路、过温、电池高低压保护、市电高低压保护</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工作温度：</w:t>
                  </w:r>
                  <w:r>
                    <w:rPr>
                      <w:rFonts w:ascii="仿宋_GB2312" w:hAnsi="仿宋_GB2312" w:cs="仿宋_GB2312" w:eastAsia="仿宋_GB2312"/>
                      <w:sz w:val="20"/>
                    </w:rPr>
                    <w:t>-30～40℃</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配备</w:t>
                  </w:r>
                  <w:r>
                    <w:rPr>
                      <w:rFonts w:ascii="仿宋_GB2312" w:hAnsi="仿宋_GB2312" w:cs="仿宋_GB2312" w:eastAsia="仿宋_GB2312"/>
                      <w:sz w:val="20"/>
                    </w:rPr>
                    <w:t>30米电缆</w:t>
                  </w:r>
                </w:p>
              </w:tc>
            </w:tr>
            <w:tr>
              <w:tc>
                <w:tcPr>
                  <w:tcW w:type="dxa" w:w="2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车载</w:t>
                  </w:r>
                  <w:r>
                    <w:rPr>
                      <w:rFonts w:ascii="仿宋_GB2312" w:hAnsi="仿宋_GB2312" w:cs="仿宋_GB2312" w:eastAsia="仿宋_GB2312"/>
                      <w:sz w:val="20"/>
                    </w:rPr>
                    <w:t>DR技术参数要求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数字化医用</w:t>
                  </w:r>
                  <w:r>
                    <w:rPr>
                      <w:rFonts w:ascii="仿宋_GB2312" w:hAnsi="仿宋_GB2312" w:cs="仿宋_GB2312" w:eastAsia="仿宋_GB2312"/>
                      <w:sz w:val="20"/>
                    </w:rPr>
                    <w:t>X 线DR 摄影系统，1台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整体要求：产品注册证为车载专用整机注册证，非常规</w:t>
                  </w:r>
                  <w:r>
                    <w:rPr>
                      <w:rFonts w:ascii="仿宋_GB2312" w:hAnsi="仿宋_GB2312" w:cs="仿宋_GB2312" w:eastAsia="仿宋_GB2312"/>
                      <w:sz w:val="20"/>
                    </w:rPr>
                    <w:t>DR整机注册证。（必须提供医疗器械注册证证明）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车载</w:t>
                  </w:r>
                  <w:r>
                    <w:rPr>
                      <w:rFonts w:ascii="仿宋_GB2312" w:hAnsi="仿宋_GB2312" w:cs="仿宋_GB2312" w:eastAsia="仿宋_GB2312"/>
                      <w:sz w:val="20"/>
                    </w:rPr>
                    <w:t>X射线机产品符合GB9706.1-2020、GB9706.103、GB9706.228、GB9706.254等标准。</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数字化平板探测器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有效范围</w:t>
                  </w:r>
                  <w:r>
                    <w:rPr>
                      <w:rFonts w:ascii="仿宋_GB2312" w:hAnsi="仿宋_GB2312" w:cs="仿宋_GB2312" w:eastAsia="仿宋_GB2312"/>
                      <w:sz w:val="20"/>
                    </w:rPr>
                    <w:t>≥17× 17 英寸</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标称成像区域</w:t>
                  </w:r>
                  <w:r>
                    <w:rPr>
                      <w:rFonts w:ascii="仿宋_GB2312" w:hAnsi="仿宋_GB2312" w:cs="仿宋_GB2312" w:eastAsia="仿宋_GB2312"/>
                      <w:sz w:val="20"/>
                    </w:rPr>
                    <w:t>≥430mm×430mm（必须提供医疗器械注册检验报告证明）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采集矩阵</w:t>
                  </w:r>
                  <w:r>
                    <w:rPr>
                      <w:rFonts w:ascii="仿宋_GB2312" w:hAnsi="仿宋_GB2312" w:cs="仿宋_GB2312" w:eastAsia="仿宋_GB2312"/>
                      <w:sz w:val="20"/>
                    </w:rPr>
                    <w:t>≥3072×3072（提供生产厂家技术白皮书等证明资料）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检测器单元尺寸</w:t>
                  </w:r>
                  <w:r>
                    <w:rPr>
                      <w:rFonts w:ascii="仿宋_GB2312" w:hAnsi="仿宋_GB2312" w:cs="仿宋_GB2312" w:eastAsia="仿宋_GB2312"/>
                      <w:sz w:val="20"/>
                    </w:rPr>
                    <w:t>≤139μm（提供生产厂家技术白皮书等证明资料）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像素总和</w:t>
                  </w:r>
                  <w:r>
                    <w:rPr>
                      <w:rFonts w:ascii="仿宋_GB2312" w:hAnsi="仿宋_GB2312" w:cs="仿宋_GB2312" w:eastAsia="仿宋_GB2312"/>
                      <w:sz w:val="20"/>
                    </w:rPr>
                    <w:t>≥940万（提生产厂家技术白皮书等证明资料）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探测器材料：非晶硅</w:t>
                  </w:r>
                  <w:r>
                    <w:rPr>
                      <w:rFonts w:ascii="仿宋_GB2312" w:hAnsi="仿宋_GB2312" w:cs="仿宋_GB2312" w:eastAsia="仿宋_GB2312"/>
                      <w:sz w:val="20"/>
                    </w:rPr>
                    <w:t>-碘化铯</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图像软件具备测量（长度测量和角度测量）功能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探测器具有</w:t>
                  </w:r>
                  <w:r>
                    <w:rPr>
                      <w:rFonts w:ascii="仿宋_GB2312" w:hAnsi="仿宋_GB2312" w:cs="仿宋_GB2312" w:eastAsia="仿宋_GB2312"/>
                      <w:sz w:val="20"/>
                    </w:rPr>
                    <w:t>X线被动触发功能(AED 功能)，探测器不需要和高压发生器连接、建立通讯协议，有小剂量X线照射即可被动触发成像功能。可避免高压发生器和平板间因通讯引发的故障，平板探测器可以随时移机，与其他 X 光机具备高度兼容性，移机使用时不需专业人员再做高压发生器和探测器的通讯连接。</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具有儿科摄影功能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2.10</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具备（长骨）图像自动拼接功能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空间分辨率：</w:t>
                  </w:r>
                  <w:r>
                    <w:rPr>
                      <w:rFonts w:ascii="仿宋_GB2312" w:hAnsi="仿宋_GB2312" w:cs="仿宋_GB2312" w:eastAsia="仿宋_GB2312"/>
                      <w:sz w:val="20"/>
                    </w:rPr>
                    <w:t>≥3.7Lp/mm</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平板探测器计量仪要求：探测器自带微型射线剂量接受仪，每次采集图像后，在图像中准确显示患者接受的辐射剂量，以辅助医生诊断及记录存档</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X 线球管</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w:t>
                  </w:r>
                  <w:r>
                    <w:rPr>
                      <w:rFonts w:ascii="仿宋_GB2312" w:hAnsi="仿宋_GB2312" w:cs="仿宋_GB2312" w:eastAsia="仿宋_GB2312"/>
                      <w:sz w:val="20"/>
                    </w:rPr>
                    <w:t>≥54KW</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阳极热容量</w:t>
                  </w:r>
                  <w:r>
                    <w:rPr>
                      <w:rFonts w:ascii="仿宋_GB2312" w:hAnsi="仿宋_GB2312" w:cs="仿宋_GB2312" w:eastAsia="仿宋_GB2312"/>
                      <w:sz w:val="20"/>
                    </w:rPr>
                    <w:t>≥240 KHU （必须提供医疗器械注册证登记表或医疗器械注册检验报告证明）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管组件热容量</w:t>
                  </w:r>
                  <w:r>
                    <w:rPr>
                      <w:rFonts w:ascii="仿宋_GB2312" w:hAnsi="仿宋_GB2312" w:cs="仿宋_GB2312" w:eastAsia="仿宋_GB2312"/>
                      <w:sz w:val="20"/>
                    </w:rPr>
                    <w:t>≥1250kHU （必须提供医疗器械注册证登记表或医疗器械注册检验报告证明）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双焦点</w:t>
                  </w:r>
                  <w:r>
                    <w:rPr>
                      <w:rFonts w:ascii="仿宋_GB2312" w:hAnsi="仿宋_GB2312" w:cs="仿宋_GB2312" w:eastAsia="仿宋_GB2312"/>
                      <w:sz w:val="20"/>
                    </w:rPr>
                    <w:t>小焦点：</w:t>
                  </w:r>
                  <w:r>
                    <w:rPr>
                      <w:rFonts w:ascii="仿宋_GB2312" w:hAnsi="仿宋_GB2312" w:cs="仿宋_GB2312" w:eastAsia="仿宋_GB2312"/>
                      <w:sz w:val="20"/>
                    </w:rPr>
                    <w:t>≥0.6mm</w:t>
                  </w:r>
                  <w:r>
                    <w:rPr>
                      <w:rFonts w:ascii="仿宋_GB2312" w:hAnsi="仿宋_GB2312" w:cs="仿宋_GB2312" w:eastAsia="仿宋_GB2312"/>
                      <w:sz w:val="20"/>
                    </w:rPr>
                    <w:t>大焦点</w:t>
                  </w:r>
                  <w:r>
                    <w:rPr>
                      <w:rFonts w:ascii="仿宋_GB2312" w:hAnsi="仿宋_GB2312" w:cs="仿宋_GB2312" w:eastAsia="仿宋_GB2312"/>
                      <w:sz w:val="20"/>
                    </w:rPr>
                    <w:t>≥1.2mm (必须提供医疗器械注册证登记表或医疗器械注册检验报告证明）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最大摄影</w:t>
                  </w:r>
                  <w:r>
                    <w:rPr>
                      <w:rFonts w:ascii="仿宋_GB2312" w:hAnsi="仿宋_GB2312" w:cs="仿宋_GB2312" w:eastAsia="仿宋_GB2312"/>
                      <w:sz w:val="20"/>
                    </w:rPr>
                    <w:t>kv：150kv</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阳极靶面材质：铼钨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高压发生器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为保证产品一致性和稳定性，高压发生器与整机为同一品牌</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输入电源：单相</w:t>
                  </w:r>
                  <w:r>
                    <w:rPr>
                      <w:rFonts w:ascii="仿宋_GB2312" w:hAnsi="仿宋_GB2312" w:cs="仿宋_GB2312" w:eastAsia="仿宋_GB2312"/>
                      <w:sz w:val="20"/>
                    </w:rPr>
                    <w:t>220V市电供电</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为适应外出体检环境，对电网供电功率需求</w:t>
                  </w:r>
                  <w:r>
                    <w:rPr>
                      <w:rFonts w:ascii="仿宋_GB2312" w:hAnsi="仿宋_GB2312" w:cs="仿宋_GB2312" w:eastAsia="仿宋_GB2312"/>
                      <w:sz w:val="20"/>
                    </w:rPr>
                    <w:t>≤3KVA（必须提供医疗器械注册证登记表或医疗器械注册检验报告证明）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标称功率</w:t>
                  </w:r>
                  <w:r>
                    <w:rPr>
                      <w:rFonts w:ascii="仿宋_GB2312" w:hAnsi="仿宋_GB2312" w:cs="仿宋_GB2312" w:eastAsia="仿宋_GB2312"/>
                      <w:sz w:val="20"/>
                    </w:rPr>
                    <w:t>≥56KW （必须提供医疗器械注册证登记表或医疗器械注册检验报告证明）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工作频率</w:t>
                  </w:r>
                  <w:r>
                    <w:rPr>
                      <w:rFonts w:ascii="仿宋_GB2312" w:hAnsi="仿宋_GB2312" w:cs="仿宋_GB2312" w:eastAsia="仿宋_GB2312"/>
                      <w:sz w:val="20"/>
                    </w:rPr>
                    <w:t>≥400KHZ（必须提供医疗器械注册证登记表或医疗器械注册检验报告证明）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输出电压：</w:t>
                  </w:r>
                  <w:r>
                    <w:rPr>
                      <w:rFonts w:ascii="仿宋_GB2312" w:hAnsi="仿宋_GB2312" w:cs="仿宋_GB2312" w:eastAsia="仿宋_GB2312"/>
                      <w:sz w:val="20"/>
                    </w:rPr>
                    <w:t>40-150KV</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最大电流</w:t>
                  </w:r>
                  <w:r>
                    <w:rPr>
                      <w:rFonts w:ascii="仿宋_GB2312" w:hAnsi="仿宋_GB2312" w:cs="仿宋_GB2312" w:eastAsia="仿宋_GB2312"/>
                      <w:sz w:val="20"/>
                    </w:rPr>
                    <w:t>≥710mA （必须提供医疗器械注册证登记表或医疗器械注册检验报告证明）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最大加载时间</w:t>
                  </w:r>
                  <w:r>
                    <w:rPr>
                      <w:rFonts w:ascii="仿宋_GB2312" w:hAnsi="仿宋_GB2312" w:cs="仿宋_GB2312" w:eastAsia="仿宋_GB2312"/>
                      <w:sz w:val="20"/>
                    </w:rPr>
                    <w:t>≥10000ms</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最大电流时间积</w:t>
                  </w:r>
                  <w:r>
                    <w:rPr>
                      <w:rFonts w:ascii="仿宋_GB2312" w:hAnsi="仿宋_GB2312" w:cs="仿宋_GB2312" w:eastAsia="仿宋_GB2312"/>
                      <w:sz w:val="20"/>
                    </w:rPr>
                    <w:t>≥630mAs（必须提供医疗器械注册证登记表或医疗器械注册检验报告证明）</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4.10</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具备温度控制功能，能实时检测球管温度，当球管温度超过设定值时，启动散热风扇，提高球管的散热能力。</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增配高压发生器原厂电容储能，禁用电池储能，电容数量</w:t>
                  </w:r>
                  <w:r>
                    <w:rPr>
                      <w:rFonts w:ascii="仿宋_GB2312" w:hAnsi="仿宋_GB2312" w:cs="仿宋_GB2312" w:eastAsia="仿宋_GB2312"/>
                      <w:sz w:val="20"/>
                    </w:rPr>
                    <w:t>≥300个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限束器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为保证产品一致性和稳定性，限束器与整机为同一品牌</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2、</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束光器固有滤过</w:t>
                  </w:r>
                  <w:r>
                    <w:rPr>
                      <w:rFonts w:ascii="仿宋_GB2312" w:hAnsi="仿宋_GB2312" w:cs="仿宋_GB2312" w:eastAsia="仿宋_GB2312"/>
                      <w:sz w:val="20"/>
                    </w:rPr>
                    <w:t>≥1.0mmAL</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3、</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限束器</w:t>
                  </w:r>
                  <w:r>
                    <w:rPr>
                      <w:rFonts w:ascii="仿宋_GB2312" w:hAnsi="仿宋_GB2312" w:cs="仿宋_GB2312" w:eastAsia="仿宋_GB2312"/>
                      <w:sz w:val="20"/>
                    </w:rPr>
                    <w:t>SID 在 1000mm 范围内的亮度均值≥100 Iux</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4、</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w:t>
                  </w:r>
                  <w:r>
                    <w:rPr>
                      <w:rFonts w:ascii="仿宋_GB2312" w:hAnsi="仿宋_GB2312" w:cs="仿宋_GB2312" w:eastAsia="仿宋_GB2312"/>
                      <w:sz w:val="20"/>
                    </w:rPr>
                    <w:t>SID测量尺，测量行程大于1800mm</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5、</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光野指示采用</w:t>
                  </w:r>
                  <w:r>
                    <w:rPr>
                      <w:rFonts w:ascii="仿宋_GB2312" w:hAnsi="仿宋_GB2312" w:cs="仿宋_GB2312" w:eastAsia="仿宋_GB2312"/>
                      <w:sz w:val="20"/>
                    </w:rPr>
                    <w:t>LED光源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6、</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机架运行时，光野指示灯自动点亮</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采集工作站</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为保证产品一致性和稳定性，图像处理软件需与平板探测器同一品牌，便于系统更新维护</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备份功能：图像及诊断报告材料的数据库管理，备份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更新自由：随机帮助，及时更新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4、</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身份证阅读系统一套，支持身份证</w:t>
                  </w:r>
                  <w:r>
                    <w:rPr>
                      <w:rFonts w:ascii="仿宋_GB2312" w:hAnsi="仿宋_GB2312" w:cs="仿宋_GB2312" w:eastAsia="仿宋_GB2312"/>
                      <w:sz w:val="20"/>
                    </w:rPr>
                    <w:t>/条形码录入病人信息</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车载机架</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DR升降范围≥650mm</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多功能双立柱机架，禁用厢式机架</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全自动机械运动控制机架，确保设备运行稳定可靠</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采用电动铅门，两扇，电动铅门具备防夹手功能，关门过程中有人进入，电动铅门能自动开门。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为方便医生操作，能一键开关铅门，医生按一下关门键，铅门能自动关上，不需要一直按住关门按键才能关门。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源像距（</w:t>
                  </w:r>
                  <w:r>
                    <w:rPr>
                      <w:rFonts w:ascii="仿宋_GB2312" w:hAnsi="仿宋_GB2312" w:cs="仿宋_GB2312" w:eastAsia="仿宋_GB2312"/>
                      <w:sz w:val="20"/>
                    </w:rPr>
                    <w:t>SID）≥180CM，符合职业性尘肺病的诊断要求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一体式</w:t>
                  </w:r>
                  <w:r>
                    <w:rPr>
                      <w:rFonts w:ascii="仿宋_GB2312" w:hAnsi="仿宋_GB2312" w:cs="仿宋_GB2312" w:eastAsia="仿宋_GB2312"/>
                      <w:sz w:val="20"/>
                    </w:rPr>
                    <w:t>DR操作面板</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为方便医生操作，操作控制台采用一体式控制盒，集一键开关机、机架同步升降、双向语音对讲、录音播放、声音录制及播放、曝光控制及指示、电动门开关、急停操作为一体。</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集成操作面板尺寸</w:t>
                  </w:r>
                  <w:r>
                    <w:rPr>
                      <w:rFonts w:ascii="仿宋_GB2312" w:hAnsi="仿宋_GB2312" w:cs="仿宋_GB2312" w:eastAsia="仿宋_GB2312"/>
                      <w:sz w:val="20"/>
                    </w:rPr>
                    <w:t>≤32cm(长）×11cm（宽）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集成操作面板材质：上盖下主题均全部采用</w:t>
                  </w:r>
                  <w:r>
                    <w:rPr>
                      <w:rFonts w:ascii="仿宋_GB2312" w:hAnsi="仿宋_GB2312" w:cs="仿宋_GB2312" w:eastAsia="仿宋_GB2312"/>
                      <w:sz w:val="20"/>
                    </w:rPr>
                    <w:t>ABS工程塑料。安全环保。</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X 光机铅房防护设施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防护设施：</w:t>
                  </w:r>
                  <w:r>
                    <w:rPr>
                      <w:rFonts w:ascii="仿宋_GB2312" w:hAnsi="仿宋_GB2312" w:cs="仿宋_GB2312" w:eastAsia="仿宋_GB2312"/>
                      <w:sz w:val="20"/>
                    </w:rPr>
                    <w:t>≥3.5mm 四周铅板防护，底部防护≥2.0mm 铅当量，顶部防护≥1.0mm 铅当量，配备视频查看系统。</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防护标准：</w:t>
                  </w:r>
                  <w:r>
                    <w:rPr>
                      <w:rFonts w:ascii="仿宋_GB2312" w:hAnsi="仿宋_GB2312" w:cs="仿宋_GB2312" w:eastAsia="仿宋_GB2312"/>
                      <w:sz w:val="20"/>
                    </w:rPr>
                    <w:t>X 线防护水平符合 GBZ264—2015 车载式医用 X 射线诊断系统的放射防护要求；</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防护措施：球管有用线束背离</w:t>
                  </w:r>
                  <w:r>
                    <w:rPr>
                      <w:rFonts w:ascii="仿宋_GB2312" w:hAnsi="仿宋_GB2312" w:cs="仿宋_GB2312" w:eastAsia="仿宋_GB2312"/>
                      <w:sz w:val="20"/>
                    </w:rPr>
                    <w:t>X 线操作台，在铅房四周墙壁和地板/顶部贴铅板；对讲机一套。</w:t>
                  </w:r>
                </w:p>
              </w:tc>
            </w:tr>
          </w:tbl>
          <w:p>
            <w:pPr>
              <w:pStyle w:val="null3"/>
            </w:pPr>
            <w:r>
              <w:rPr>
                <w:rFonts w:ascii="仿宋_GB2312" w:hAnsi="仿宋_GB2312" w:cs="仿宋_GB2312" w:eastAsia="仿宋_GB2312"/>
              </w:rPr>
              <w:t>注：未标记“★”的为一般参数需求条款，允许负偏离≤10条。</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成交后7天内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验收合格后支付合同金额的100%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（1）产品在开箱检验时必须完好，无破损，配置与装箱单相符。质量及性能不低于采购项目技术规格、参数与要求中提出的要求。 （2）产品外观清洁，货物运送到指定地点后，由采购人及使用单位组织相关人员对货物进行验收，验收过程中，如发现货物有碰撞变形及参数不符等质量问题，进行无条件更换。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底盘3年或6万公里（以先到为主），改装部分1年；DR设备保修期：2年。保修期内免费更换零配件，免费线上线下技术支持服务，在接到正式通知后2小时内响应，48小时内到达现场进行检修，解决问题时间不超过72小时。保修期自验收合格之日起计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遵照签订的合同条款执行。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车辆许可</w:t>
            </w:r>
          </w:p>
        </w:tc>
        <w:tc>
          <w:tcPr>
            <w:tcW w:type="dxa" w:w="3322"/>
          </w:tcPr>
          <w:p>
            <w:pPr>
              <w:pStyle w:val="null3"/>
            </w:pPr>
            <w:r>
              <w:rPr>
                <w:rFonts w:ascii="仿宋_GB2312" w:hAnsi="仿宋_GB2312" w:cs="仿宋_GB2312" w:eastAsia="仿宋_GB2312"/>
              </w:rPr>
              <w:t>所供机动车辆须属于中华人民共和国工业和信息化部公告的《道路机动车辆生产企业及产品》目录内的医疗车产品。（提供所投车辆在《道路机动车辆生产企业及产品信息查询系统》查询截图及相关附件为证明材料。）</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供应商资格证明文件.docx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