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981B5">
      <w:pPr>
        <w:keepNext w:val="0"/>
        <w:keepLines w:val="0"/>
        <w:pageBreakBefore w:val="0"/>
        <w:widowControl/>
        <w:kinsoku w:val="0"/>
        <w:wordWrap/>
        <w:overflowPunct/>
        <w:topLinePunct w:val="0"/>
        <w:autoSpaceDE w:val="0"/>
        <w:autoSpaceDN w:val="0"/>
        <w:bidi w:val="0"/>
        <w:adjustRightInd w:val="0"/>
        <w:snapToGrid w:val="0"/>
        <w:spacing w:line="400" w:lineRule="exact"/>
        <w:ind w:left="0"/>
        <w:jc w:val="center"/>
        <w:textAlignment w:val="baseline"/>
        <w:outlineLvl w:val="0"/>
        <w:rPr>
          <w:rFonts w:hint="eastAsia" w:ascii="仿宋" w:hAnsi="仿宋" w:eastAsia="仿宋" w:cs="仿宋"/>
          <w:sz w:val="32"/>
          <w:szCs w:val="32"/>
        </w:rPr>
      </w:pPr>
      <w:r>
        <w:rPr>
          <w:rFonts w:hint="eastAsia" w:ascii="仿宋" w:hAnsi="仿宋" w:eastAsia="仿宋" w:cs="仿宋"/>
          <w:b/>
          <w:bCs/>
          <w:spacing w:val="5"/>
          <w:sz w:val="32"/>
          <w:szCs w:val="32"/>
        </w:rPr>
        <w:t>合同条款及格式</w:t>
      </w:r>
    </w:p>
    <w:p w14:paraId="395437B7">
      <w:pPr>
        <w:autoSpaceDE w:val="0"/>
        <w:autoSpaceDN w:val="0"/>
        <w:adjustRightInd w:val="0"/>
        <w:spacing w:line="360" w:lineRule="auto"/>
        <w:ind w:firstLine="480" w:firstLineChars="200"/>
        <w:rPr>
          <w:rFonts w:hint="default" w:ascii="仿宋" w:hAnsi="仿宋" w:eastAsia="仿宋" w:cs="仿宋"/>
          <w:bCs/>
          <w:color w:val="auto"/>
          <w:sz w:val="24"/>
          <w:highlight w:val="none"/>
          <w:lang w:val="en-US" w:eastAsia="zh-CN"/>
        </w:rPr>
      </w:pPr>
      <w:bookmarkStart w:id="0" w:name="bookmark5"/>
      <w:bookmarkEnd w:id="0"/>
      <w:r>
        <w:rPr>
          <w:rFonts w:hint="eastAsia" w:ascii="仿宋" w:hAnsi="仿宋" w:eastAsia="仿宋" w:cs="仿宋"/>
          <w:bCs/>
          <w:color w:val="auto"/>
          <w:sz w:val="24"/>
          <w:highlight w:val="none"/>
        </w:rPr>
        <w:t>甲方：</w:t>
      </w:r>
      <w:r>
        <w:rPr>
          <w:rFonts w:hint="eastAsia" w:ascii="仿宋" w:hAnsi="仿宋" w:eastAsia="仿宋" w:cs="仿宋"/>
          <w:bCs/>
          <w:color w:val="auto"/>
          <w:sz w:val="24"/>
          <w:highlight w:val="none"/>
          <w:u w:val="single"/>
          <w:lang w:val="en-US" w:eastAsia="zh-CN"/>
        </w:rPr>
        <w:t xml:space="preserve">            </w:t>
      </w:r>
    </w:p>
    <w:p w14:paraId="6A9B309A">
      <w:pPr>
        <w:autoSpaceDE w:val="0"/>
        <w:autoSpaceDN w:val="0"/>
        <w:adjustRightInd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乙方：</w:t>
      </w:r>
      <w:r>
        <w:rPr>
          <w:rFonts w:hint="eastAsia" w:ascii="仿宋" w:hAnsi="仿宋" w:eastAsia="仿宋" w:cs="仿宋"/>
          <w:bCs/>
          <w:color w:val="auto"/>
          <w:sz w:val="24"/>
          <w:highlight w:val="none"/>
          <w:u w:val="single"/>
          <w:lang w:val="en-US" w:eastAsia="zh-CN"/>
        </w:rPr>
        <w:t xml:space="preserve">            </w:t>
      </w:r>
      <w:r>
        <w:rPr>
          <w:rFonts w:hint="eastAsia" w:ascii="仿宋" w:hAnsi="仿宋" w:eastAsia="仿宋" w:cs="仿宋"/>
          <w:bCs/>
          <w:color w:val="auto"/>
          <w:sz w:val="24"/>
          <w:highlight w:val="none"/>
        </w:rPr>
        <w:t xml:space="preserve"> </w:t>
      </w:r>
    </w:p>
    <w:p w14:paraId="6D5EF966">
      <w:pPr>
        <w:keepNext/>
        <w:keepLines/>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u w:val="single"/>
          <w:lang w:val="en-US" w:eastAsia="zh-CN"/>
        </w:rPr>
        <w:t>（项目名称：             ）</w:t>
      </w:r>
      <w:r>
        <w:rPr>
          <w:rFonts w:hint="eastAsia" w:ascii="仿宋" w:hAnsi="仿宋" w:eastAsia="仿宋" w:cs="仿宋"/>
          <w:bCs/>
          <w:color w:val="auto"/>
          <w:sz w:val="24"/>
          <w:highlight w:val="none"/>
          <w:u w:val="single"/>
          <w:lang w:eastAsia="zh-CN"/>
        </w:rPr>
        <w:t>（</w:t>
      </w:r>
      <w:r>
        <w:rPr>
          <w:rFonts w:hint="eastAsia" w:ascii="仿宋" w:hAnsi="仿宋" w:eastAsia="仿宋" w:cs="仿宋"/>
          <w:bCs/>
          <w:color w:val="auto"/>
          <w:sz w:val="24"/>
          <w:highlight w:val="none"/>
          <w:u w:val="single"/>
          <w:lang w:val="en-US" w:eastAsia="zh-CN"/>
        </w:rPr>
        <w:t xml:space="preserve">包号：    </w:t>
      </w:r>
      <w:r>
        <w:rPr>
          <w:rFonts w:hint="eastAsia" w:ascii="仿宋" w:hAnsi="仿宋" w:eastAsia="仿宋" w:cs="仿宋"/>
          <w:bCs/>
          <w:color w:val="auto"/>
          <w:sz w:val="24"/>
          <w:highlight w:val="none"/>
          <w:u w:val="single"/>
          <w:lang w:eastAsia="zh-CN"/>
        </w:rPr>
        <w:t>）</w:t>
      </w:r>
      <w:r>
        <w:rPr>
          <w:rFonts w:hint="eastAsia" w:ascii="仿宋" w:hAnsi="仿宋" w:eastAsia="仿宋" w:cs="仿宋"/>
          <w:bCs/>
          <w:color w:val="auto"/>
          <w:sz w:val="24"/>
          <w:highlight w:val="none"/>
          <w:u w:val="single"/>
        </w:rPr>
        <w:t>(项目编号：</w:t>
      </w:r>
      <w:r>
        <w:rPr>
          <w:rFonts w:hint="eastAsia" w:ascii="仿宋" w:hAnsi="仿宋" w:eastAsia="仿宋" w:cs="仿宋"/>
          <w:bCs/>
          <w:color w:val="auto"/>
          <w:sz w:val="24"/>
          <w:highlight w:val="none"/>
          <w:u w:val="single"/>
          <w:lang w:val="en-US" w:eastAsia="zh-CN"/>
        </w:rPr>
        <w:t xml:space="preserve">           </w:t>
      </w:r>
      <w:r>
        <w:rPr>
          <w:rFonts w:hint="eastAsia" w:ascii="仿宋" w:hAnsi="仿宋" w:eastAsia="仿宋" w:cs="仿宋"/>
          <w:bCs/>
          <w:color w:val="auto"/>
          <w:sz w:val="24"/>
          <w:highlight w:val="none"/>
          <w:u w:val="single"/>
          <w:lang w:eastAsia="zh-CN"/>
        </w:rPr>
        <w:t>）</w:t>
      </w:r>
      <w:r>
        <w:rPr>
          <w:rFonts w:hint="eastAsia" w:ascii="仿宋" w:hAnsi="仿宋" w:eastAsia="仿宋" w:cs="仿宋"/>
          <w:bCs/>
          <w:color w:val="auto"/>
          <w:sz w:val="24"/>
          <w:highlight w:val="none"/>
        </w:rPr>
        <w:t>由</w:t>
      </w:r>
      <w:r>
        <w:rPr>
          <w:rFonts w:hint="eastAsia" w:ascii="仿宋" w:hAnsi="仿宋" w:eastAsia="仿宋" w:cs="仿宋"/>
          <w:bCs/>
          <w:color w:val="auto"/>
          <w:sz w:val="24"/>
          <w:highlight w:val="none"/>
          <w:u w:val="single"/>
          <w:lang w:eastAsia="zh-CN"/>
        </w:rPr>
        <w:t>陕西锦鑫睿泽项目管理有限公司</w:t>
      </w:r>
      <w:r>
        <w:rPr>
          <w:rFonts w:hint="eastAsia" w:ascii="仿宋" w:hAnsi="仿宋" w:eastAsia="仿宋" w:cs="仿宋"/>
          <w:bCs/>
          <w:color w:val="auto"/>
          <w:sz w:val="24"/>
          <w:highlight w:val="none"/>
        </w:rPr>
        <w:t>组织竞争性</w:t>
      </w:r>
      <w:r>
        <w:rPr>
          <w:rFonts w:hint="eastAsia" w:ascii="仿宋" w:hAnsi="仿宋" w:eastAsia="仿宋" w:cs="仿宋"/>
          <w:bCs/>
          <w:color w:val="auto"/>
          <w:sz w:val="24"/>
          <w:highlight w:val="none"/>
          <w:lang w:val="en-US" w:eastAsia="zh-CN"/>
        </w:rPr>
        <w:t>磋商采购</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(以下简称“甲方”)确定</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（以下简称“乙方”）为的成交供应商。</w:t>
      </w:r>
    </w:p>
    <w:p w14:paraId="16E92FE5">
      <w:pPr>
        <w:autoSpaceDE w:val="0"/>
        <w:autoSpaceDN w:val="0"/>
        <w:adjustRightInd w:val="0"/>
        <w:spacing w:line="348"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依据《中华人民共和国</w:t>
      </w:r>
      <w:r>
        <w:rPr>
          <w:rFonts w:hint="eastAsia" w:ascii="仿宋" w:hAnsi="仿宋" w:eastAsia="仿宋" w:cs="仿宋"/>
          <w:bCs/>
          <w:color w:val="auto"/>
          <w:sz w:val="24"/>
          <w:highlight w:val="none"/>
          <w:lang w:val="en-US" w:eastAsia="zh-CN"/>
        </w:rPr>
        <w:t>民法典</w:t>
      </w:r>
      <w:r>
        <w:rPr>
          <w:rFonts w:hint="eastAsia" w:ascii="仿宋" w:hAnsi="仿宋" w:eastAsia="仿宋" w:cs="仿宋"/>
          <w:bCs/>
          <w:color w:val="auto"/>
          <w:sz w:val="24"/>
          <w:highlight w:val="none"/>
        </w:rPr>
        <w:t>》和《</w:t>
      </w:r>
      <w:r>
        <w:rPr>
          <w:rFonts w:hint="eastAsia" w:ascii="仿宋" w:hAnsi="仿宋" w:eastAsia="仿宋" w:cs="仿宋"/>
          <w:color w:val="auto"/>
          <w:sz w:val="24"/>
          <w:highlight w:val="none"/>
        </w:rPr>
        <w:t>中华人民共和国政府采购法</w:t>
      </w:r>
      <w:r>
        <w:rPr>
          <w:rFonts w:hint="eastAsia" w:ascii="仿宋" w:hAnsi="仿宋" w:eastAsia="仿宋" w:cs="仿宋"/>
          <w:bCs/>
          <w:color w:val="auto"/>
          <w:sz w:val="24"/>
          <w:highlight w:val="none"/>
        </w:rPr>
        <w:t>》，经双方协商按下述条款和条件签署本合同。</w:t>
      </w:r>
    </w:p>
    <w:p w14:paraId="43114F5B">
      <w:pPr>
        <w:autoSpaceDE w:val="0"/>
        <w:autoSpaceDN w:val="0"/>
        <w:adjustRightInd w:val="0"/>
        <w:spacing w:line="348"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一、合同价款</w:t>
      </w:r>
    </w:p>
    <w:p w14:paraId="31E4A433">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（一）合同总价款为人民币（大写）</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 xml:space="preserve"> ）。</w:t>
      </w:r>
    </w:p>
    <w:p w14:paraId="0DA8BCDF">
      <w:pPr>
        <w:autoSpaceDE w:val="0"/>
        <w:autoSpaceDN w:val="0"/>
        <w:adjustRightInd w:val="0"/>
        <w:spacing w:line="360" w:lineRule="auto"/>
        <w:ind w:firstLine="480" w:firstLineChars="200"/>
        <w:rPr>
          <w:rFonts w:hint="eastAsia" w:ascii="仿宋" w:hAnsi="仿宋" w:eastAsia="仿宋" w:cs="仿宋"/>
          <w:color w:val="auto"/>
          <w:sz w:val="24"/>
          <w:highlight w:val="yellow"/>
        </w:rPr>
      </w:pPr>
      <w:r>
        <w:rPr>
          <w:rFonts w:hint="eastAsia" w:ascii="仿宋" w:hAnsi="仿宋" w:eastAsia="仿宋" w:cs="仿宋"/>
          <w:bCs/>
          <w:color w:val="auto"/>
          <w:sz w:val="24"/>
        </w:rPr>
        <w:t>（二）合同总价包括：</w:t>
      </w:r>
      <w:r>
        <w:rPr>
          <w:rFonts w:hint="eastAsia" w:ascii="仿宋" w:hAnsi="仿宋" w:eastAsia="仿宋" w:cs="仿宋"/>
          <w:color w:val="auto"/>
          <w:sz w:val="24"/>
        </w:rPr>
        <w:t>本项目所需的一切</w:t>
      </w:r>
      <w:r>
        <w:rPr>
          <w:rFonts w:hint="eastAsia" w:ascii="仿宋" w:hAnsi="仿宋" w:eastAsia="仿宋" w:cs="仿宋"/>
          <w:color w:val="auto"/>
          <w:sz w:val="24"/>
          <w:highlight w:val="none"/>
        </w:rPr>
        <w:t>费用。</w:t>
      </w:r>
    </w:p>
    <w:p w14:paraId="786DB85E">
      <w:pPr>
        <w:autoSpaceDE w:val="0"/>
        <w:autoSpaceDN w:val="0"/>
        <w:adjustRightInd w:val="0"/>
        <w:spacing w:line="360" w:lineRule="auto"/>
        <w:ind w:firstLine="480" w:firstLineChars="200"/>
        <w:rPr>
          <w:rFonts w:hint="eastAsia" w:ascii="仿宋" w:hAnsi="仿宋" w:eastAsia="仿宋" w:cs="仿宋"/>
          <w:bCs/>
          <w:color w:val="auto"/>
          <w:sz w:val="24"/>
          <w:lang w:eastAsia="zh-CN"/>
        </w:rPr>
      </w:pPr>
      <w:r>
        <w:rPr>
          <w:rFonts w:hint="eastAsia" w:ascii="仿宋" w:hAnsi="仿宋" w:eastAsia="仿宋" w:cs="仿宋"/>
          <w:bCs/>
          <w:color w:val="auto"/>
          <w:sz w:val="24"/>
        </w:rPr>
        <w:t>（三）合同定价方式:固定单价</w:t>
      </w:r>
      <w:r>
        <w:rPr>
          <w:rFonts w:hint="eastAsia" w:ascii="仿宋" w:hAnsi="仿宋" w:eastAsia="仿宋" w:cs="仿宋"/>
          <w:bCs/>
          <w:color w:val="auto"/>
          <w:sz w:val="24"/>
          <w:lang w:eastAsia="zh-CN"/>
        </w:rPr>
        <w:t>。</w:t>
      </w:r>
    </w:p>
    <w:p w14:paraId="769A71B3">
      <w:pPr>
        <w:autoSpaceDE w:val="0"/>
        <w:autoSpaceDN w:val="0"/>
        <w:adjustRightInd w:val="0"/>
        <w:spacing w:line="360" w:lineRule="auto"/>
        <w:ind w:firstLine="482" w:firstLineChars="200"/>
        <w:rPr>
          <w:rFonts w:hint="eastAsia" w:ascii="仿宋" w:hAnsi="仿宋" w:eastAsia="仿宋" w:cs="仿宋"/>
          <w:bCs/>
          <w:color w:val="auto"/>
          <w:sz w:val="24"/>
        </w:rPr>
      </w:pPr>
      <w:r>
        <w:rPr>
          <w:rFonts w:hint="eastAsia" w:ascii="仿宋" w:hAnsi="仿宋" w:eastAsia="仿宋" w:cs="仿宋"/>
          <w:b/>
          <w:bCs/>
          <w:color w:val="auto"/>
          <w:sz w:val="24"/>
        </w:rPr>
        <w:t>二、服务地点及服务期限：</w:t>
      </w:r>
    </w:p>
    <w:p w14:paraId="49B61F88">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（一）服务地点：</w:t>
      </w:r>
      <w:r>
        <w:rPr>
          <w:rFonts w:hint="eastAsia" w:ascii="仿宋" w:hAnsi="仿宋" w:eastAsia="仿宋" w:cs="仿宋"/>
          <w:b w:val="0"/>
          <w:bCs/>
          <w:color w:val="auto"/>
          <w:sz w:val="24"/>
          <w:highlight w:val="none"/>
          <w:lang w:val="en-US" w:eastAsia="zh-CN"/>
        </w:rPr>
        <w:t>采购人指定地点</w:t>
      </w:r>
    </w:p>
    <w:p w14:paraId="49F3AE0B">
      <w:pPr>
        <w:spacing w:line="360" w:lineRule="auto"/>
        <w:ind w:firstLine="480" w:firstLineChars="200"/>
        <w:rPr>
          <w:rFonts w:hint="eastAsia" w:ascii="仿宋" w:hAnsi="仿宋" w:eastAsia="仿宋" w:cs="仿宋"/>
          <w:color w:val="auto"/>
          <w:sz w:val="24"/>
        </w:rPr>
      </w:pPr>
      <w:r>
        <w:rPr>
          <w:rFonts w:hint="eastAsia" w:ascii="仿宋" w:hAnsi="仿宋" w:eastAsia="仿宋" w:cs="仿宋"/>
          <w:bCs/>
          <w:color w:val="auto"/>
          <w:sz w:val="24"/>
        </w:rPr>
        <w:t>（二）服务期</w:t>
      </w:r>
      <w:r>
        <w:rPr>
          <w:rFonts w:hint="eastAsia" w:ascii="仿宋" w:hAnsi="仿宋" w:eastAsia="仿宋" w:cs="仿宋"/>
          <w:bCs/>
          <w:color w:val="auto"/>
          <w:sz w:val="24"/>
          <w:lang w:val="en-US" w:eastAsia="zh-CN"/>
        </w:rPr>
        <w:t>限</w:t>
      </w:r>
      <w:r>
        <w:rPr>
          <w:rFonts w:hint="eastAsia" w:ascii="仿宋" w:hAnsi="仿宋" w:eastAsia="仿宋" w:cs="仿宋"/>
          <w:bCs/>
          <w:color w:val="auto"/>
          <w:sz w:val="24"/>
        </w:rPr>
        <w:t>：</w:t>
      </w:r>
    </w:p>
    <w:p w14:paraId="58BC0DD3">
      <w:pPr>
        <w:autoSpaceDE w:val="0"/>
        <w:autoSpaceDN w:val="0"/>
        <w:adjustRightIn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三、款项结算</w:t>
      </w:r>
    </w:p>
    <w:p w14:paraId="69D1D445">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w:t>
      </w:r>
      <w:r>
        <w:rPr>
          <w:rFonts w:hint="eastAsia" w:ascii="仿宋" w:hAnsi="仿宋" w:eastAsia="仿宋" w:cs="仿宋"/>
          <w:bCs/>
          <w:color w:val="auto"/>
          <w:sz w:val="24"/>
          <w:lang w:val="en-US" w:eastAsia="zh-CN"/>
        </w:rPr>
        <w:t>支付方式</w:t>
      </w:r>
      <w:r>
        <w:rPr>
          <w:rFonts w:hint="eastAsia" w:ascii="仿宋" w:hAnsi="仿宋" w:eastAsia="仿宋" w:cs="仿宋"/>
          <w:bCs/>
          <w:color w:val="auto"/>
          <w:sz w:val="24"/>
        </w:rPr>
        <w:t>：</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u w:val="single"/>
          <w:lang w:val="en-US" w:eastAsia="zh-CN"/>
        </w:rPr>
        <w:t xml:space="preserve">    </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p>
    <w:p w14:paraId="42ABCB10">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w:t>
      </w:r>
      <w:r>
        <w:rPr>
          <w:rFonts w:hint="eastAsia" w:ascii="仿宋" w:hAnsi="仿宋" w:eastAsia="仿宋" w:cs="仿宋"/>
          <w:bCs/>
          <w:color w:val="auto"/>
          <w:sz w:val="24"/>
          <w:lang w:val="en-US" w:eastAsia="zh-CN"/>
        </w:rPr>
        <w:t>结算条件</w:t>
      </w:r>
      <w:r>
        <w:rPr>
          <w:rFonts w:hint="eastAsia" w:ascii="仿宋" w:hAnsi="仿宋" w:eastAsia="仿宋" w:cs="仿宋"/>
          <w:bCs/>
          <w:color w:val="auto"/>
          <w:sz w:val="24"/>
        </w:rPr>
        <w:t>：</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u w:val="single"/>
          <w:lang w:val="en-US" w:eastAsia="zh-CN"/>
        </w:rPr>
        <w:t xml:space="preserve">    </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p>
    <w:p w14:paraId="5B3DC772">
      <w:pPr>
        <w:autoSpaceDE w:val="0"/>
        <w:autoSpaceDN w:val="0"/>
        <w:adjustRightInd w:val="0"/>
        <w:spacing w:line="360" w:lineRule="auto"/>
        <w:ind w:firstLine="480" w:firstLineChars="200"/>
        <w:rPr>
          <w:rFonts w:hint="eastAsia" w:ascii="仿宋" w:hAnsi="仿宋" w:eastAsia="仿宋" w:cs="仿宋"/>
          <w:bCs/>
          <w:color w:val="auto"/>
          <w:sz w:val="24"/>
          <w:highlight w:val="yellow"/>
        </w:rPr>
      </w:pPr>
      <w:r>
        <w:rPr>
          <w:rFonts w:hint="eastAsia" w:ascii="仿宋" w:hAnsi="仿宋" w:eastAsia="仿宋" w:cs="仿宋"/>
          <w:bCs/>
          <w:color w:val="auto"/>
          <w:sz w:val="24"/>
        </w:rPr>
        <w:t>（三）</w:t>
      </w:r>
      <w:r>
        <w:rPr>
          <w:rFonts w:hint="eastAsia" w:ascii="仿宋" w:hAnsi="仿宋" w:eastAsia="仿宋" w:cs="仿宋"/>
          <w:bCs/>
          <w:color w:val="auto"/>
          <w:sz w:val="24"/>
          <w:lang w:val="en-US" w:eastAsia="zh-CN"/>
        </w:rPr>
        <w:t>付款进度</w:t>
      </w:r>
      <w:r>
        <w:rPr>
          <w:rFonts w:hint="eastAsia" w:ascii="仿宋" w:hAnsi="仿宋" w:eastAsia="仿宋" w:cs="仿宋"/>
          <w:bCs/>
          <w:color w:val="auto"/>
          <w:sz w:val="24"/>
        </w:rPr>
        <w:t>：</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u w:val="single"/>
          <w:lang w:val="en-US" w:eastAsia="zh-CN"/>
        </w:rPr>
        <w:t xml:space="preserve">    </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w:t>
      </w:r>
    </w:p>
    <w:p w14:paraId="256C0B18">
      <w:pPr>
        <w:autoSpaceDE w:val="0"/>
        <w:autoSpaceDN w:val="0"/>
        <w:adjustRightInd w:val="0"/>
        <w:snapToGrid w:val="0"/>
        <w:spacing w:line="360" w:lineRule="auto"/>
        <w:ind w:firstLine="482" w:firstLineChars="200"/>
        <w:rPr>
          <w:rFonts w:hint="eastAsia" w:ascii="仿宋" w:hAnsi="仿宋" w:eastAsia="仿宋" w:cs="仿宋"/>
          <w:b/>
          <w:bCs/>
          <w:color w:val="auto"/>
          <w:sz w:val="24"/>
          <w:lang w:val="en-US" w:eastAsia="zh-CN"/>
        </w:rPr>
      </w:pPr>
      <w:r>
        <w:rPr>
          <w:rFonts w:hint="eastAsia" w:ascii="仿宋" w:hAnsi="仿宋" w:eastAsia="仿宋" w:cs="仿宋"/>
          <w:b/>
          <w:bCs/>
          <w:color w:val="auto"/>
          <w:sz w:val="24"/>
        </w:rPr>
        <w:t>四、</w:t>
      </w:r>
      <w:r>
        <w:rPr>
          <w:rFonts w:hint="eastAsia" w:ascii="仿宋" w:hAnsi="仿宋" w:eastAsia="仿宋" w:cs="仿宋"/>
          <w:b/>
          <w:bCs/>
          <w:color w:val="auto"/>
          <w:sz w:val="24"/>
          <w:lang w:val="en-US" w:eastAsia="zh-CN"/>
        </w:rPr>
        <w:t>验收</w:t>
      </w:r>
    </w:p>
    <w:p w14:paraId="3EC0DA50">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（一）成交供应商配合采购人验收。</w:t>
      </w:r>
    </w:p>
    <w:p w14:paraId="5B019B14">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（二）验收</w:t>
      </w:r>
      <w:r>
        <w:rPr>
          <w:rFonts w:hint="eastAsia" w:ascii="仿宋" w:hAnsi="仿宋" w:eastAsia="仿宋" w:cs="仿宋"/>
          <w:bCs/>
          <w:color w:val="auto"/>
          <w:sz w:val="24"/>
          <w:lang w:val="en-US" w:eastAsia="zh-CN"/>
        </w:rPr>
        <w:t>方案</w:t>
      </w:r>
      <w:r>
        <w:rPr>
          <w:rFonts w:hint="eastAsia" w:ascii="仿宋" w:hAnsi="仿宋" w:eastAsia="仿宋" w:cs="仿宋"/>
          <w:bCs/>
          <w:color w:val="auto"/>
          <w:sz w:val="24"/>
        </w:rPr>
        <w:t>：</w:t>
      </w:r>
    </w:p>
    <w:p w14:paraId="5DF037FF">
      <w:pPr>
        <w:autoSpaceDE w:val="0"/>
        <w:autoSpaceDN w:val="0"/>
        <w:adjustRightInd w:val="0"/>
        <w:spacing w:line="360" w:lineRule="auto"/>
        <w:ind w:firstLine="480" w:firstLineChars="200"/>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 xml:space="preserve">1.项目完成后，成交供应商书面提出验收申请，由采购人或组织相关人员成立验收小组对项目进行验收，完善项目资料，形成验收报告。 </w:t>
      </w:r>
    </w:p>
    <w:p w14:paraId="66FE6E37">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lang w:val="en-US" w:eastAsia="zh-CN"/>
        </w:rPr>
        <w:t xml:space="preserve">2.其他未尽事宜应严格按照《财政部关于进一步加强政府采购需求和履约验收管理的指导意见》(财库(2016) 205号)的要求进行。 </w:t>
      </w:r>
    </w:p>
    <w:p w14:paraId="5AC2F078">
      <w:pPr>
        <w:autoSpaceDE w:val="0"/>
        <w:autoSpaceDN w:val="0"/>
        <w:adjustRightInd w:val="0"/>
        <w:spacing w:line="348" w:lineRule="auto"/>
        <w:ind w:firstLine="480" w:firstLineChars="200"/>
        <w:rPr>
          <w:rFonts w:hint="eastAsia" w:ascii="仿宋" w:hAnsi="仿宋" w:eastAsia="仿宋" w:cs="仿宋"/>
          <w:bCs/>
          <w:color w:val="auto"/>
          <w:sz w:val="24"/>
          <w:lang w:val="en-US" w:eastAsia="zh-CN"/>
        </w:rPr>
      </w:pPr>
      <w:r>
        <w:rPr>
          <w:rFonts w:hint="eastAsia" w:ascii="仿宋" w:hAnsi="仿宋" w:eastAsia="仿宋" w:cs="仿宋"/>
          <w:bCs/>
          <w:color w:val="auto"/>
          <w:sz w:val="24"/>
        </w:rPr>
        <w:t>（三）</w:t>
      </w:r>
      <w:r>
        <w:rPr>
          <w:rFonts w:hint="eastAsia" w:ascii="仿宋" w:hAnsi="仿宋" w:eastAsia="仿宋" w:cs="仿宋"/>
          <w:bCs/>
          <w:color w:val="auto"/>
          <w:sz w:val="24"/>
          <w:lang w:val="en-US" w:eastAsia="zh-CN"/>
        </w:rPr>
        <w:t>验收标准：</w:t>
      </w:r>
    </w:p>
    <w:p w14:paraId="13E00690">
      <w:pPr>
        <w:autoSpaceDE w:val="0"/>
        <w:autoSpaceDN w:val="0"/>
        <w:adjustRightInd w:val="0"/>
        <w:spacing w:line="360" w:lineRule="auto"/>
        <w:ind w:firstLine="480" w:firstLineChars="200"/>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 xml:space="preserve">1.社会效益指标：残疾人托养和照护服务水平及能力得到较显著提高，残疾人社会适应能力得到提高，融入社会生活程度得到较显著改善。 </w:t>
      </w:r>
    </w:p>
    <w:p w14:paraId="11906B66">
      <w:pPr>
        <w:autoSpaceDE w:val="0"/>
        <w:autoSpaceDN w:val="0"/>
        <w:adjustRightInd w:val="0"/>
        <w:spacing w:line="360" w:lineRule="auto"/>
        <w:ind w:firstLine="480" w:firstLineChars="200"/>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 xml:space="preserve">2.服务对象满意度指标：确保接受服务的残疾人及家属满意度达到80%以上。 </w:t>
      </w:r>
    </w:p>
    <w:p w14:paraId="55233DF1">
      <w:pPr>
        <w:autoSpaceDE w:val="0"/>
        <w:autoSpaceDN w:val="0"/>
        <w:adjustRightInd w:val="0"/>
        <w:spacing w:line="360" w:lineRule="auto"/>
        <w:ind w:firstLine="480" w:firstLineChars="200"/>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3.承接的托养和照护服务类型应符合《就业年龄段智力、精神及重度肢体残疾人托养服务规范》(国家市场监督管理总局、中国国家标准化管理委员会发布的中华人民共和国国家标准GB/T37516-2019)、《政府购买残疾人服务技术标准与规范(试行)》(残联发〔2016]6号)中关于机构人员和准入标准的有关规定。</w:t>
      </w:r>
    </w:p>
    <w:p w14:paraId="7B168301">
      <w:pPr>
        <w:autoSpaceDE w:val="0"/>
        <w:autoSpaceDN w:val="0"/>
        <w:adjustRightInd w:val="0"/>
        <w:spacing w:line="348" w:lineRule="auto"/>
        <w:ind w:firstLine="480" w:firstLineChars="200"/>
        <w:rPr>
          <w:rFonts w:hint="eastAsia" w:ascii="仿宋" w:hAnsi="仿宋" w:eastAsia="仿宋" w:cs="仿宋"/>
          <w:b w:val="0"/>
          <w:bCs/>
          <w:color w:val="auto"/>
          <w:sz w:val="24"/>
        </w:rPr>
      </w:pPr>
      <w:r>
        <w:rPr>
          <w:rFonts w:hint="eastAsia" w:ascii="仿宋" w:hAnsi="仿宋" w:eastAsia="仿宋" w:cs="仿宋"/>
          <w:bCs/>
          <w:color w:val="auto"/>
          <w:sz w:val="24"/>
        </w:rPr>
        <w:t>（</w:t>
      </w:r>
      <w:r>
        <w:rPr>
          <w:rFonts w:hint="eastAsia" w:ascii="仿宋" w:hAnsi="仿宋" w:eastAsia="仿宋" w:cs="仿宋"/>
          <w:bCs/>
          <w:color w:val="auto"/>
          <w:sz w:val="24"/>
          <w:lang w:val="en-US" w:eastAsia="zh-CN"/>
        </w:rPr>
        <w:t>四</w:t>
      </w:r>
      <w:r>
        <w:rPr>
          <w:rFonts w:hint="eastAsia" w:ascii="仿宋" w:hAnsi="仿宋" w:eastAsia="仿宋" w:cs="仿宋"/>
          <w:bCs/>
          <w:color w:val="auto"/>
          <w:sz w:val="24"/>
        </w:rPr>
        <w:t>）</w:t>
      </w:r>
      <w:r>
        <w:rPr>
          <w:rFonts w:hint="eastAsia" w:ascii="仿宋" w:hAnsi="仿宋" w:eastAsia="仿宋" w:cs="仿宋"/>
          <w:b w:val="0"/>
          <w:bCs/>
          <w:color w:val="auto"/>
          <w:sz w:val="24"/>
        </w:rPr>
        <w:t>验收依据：</w:t>
      </w:r>
    </w:p>
    <w:p w14:paraId="6FF08BAC">
      <w:pPr>
        <w:autoSpaceDE w:val="0"/>
        <w:autoSpaceDN w:val="0"/>
        <w:adjustRightInd w:val="0"/>
        <w:spacing w:line="348" w:lineRule="auto"/>
        <w:ind w:firstLine="480" w:firstLineChars="200"/>
        <w:rPr>
          <w:rFonts w:hint="eastAsia" w:ascii="仿宋" w:hAnsi="仿宋" w:eastAsia="仿宋" w:cs="仿宋"/>
          <w:b w:val="0"/>
          <w:bCs/>
          <w:color w:val="auto"/>
          <w:sz w:val="24"/>
        </w:rPr>
      </w:pPr>
      <w:r>
        <w:rPr>
          <w:rFonts w:hint="eastAsia" w:ascii="仿宋" w:hAnsi="仿宋" w:eastAsia="仿宋" w:cs="仿宋"/>
          <w:b w:val="0"/>
          <w:bCs/>
          <w:color w:val="auto"/>
          <w:sz w:val="24"/>
        </w:rPr>
        <w:t>1.本合同及附加文本；</w:t>
      </w:r>
    </w:p>
    <w:p w14:paraId="3B74BCA6">
      <w:pPr>
        <w:autoSpaceDE w:val="0"/>
        <w:autoSpaceDN w:val="0"/>
        <w:adjustRightInd w:val="0"/>
        <w:spacing w:line="348" w:lineRule="auto"/>
        <w:ind w:firstLine="480" w:firstLineChars="200"/>
        <w:rPr>
          <w:rFonts w:hint="eastAsia" w:ascii="仿宋" w:hAnsi="仿宋" w:eastAsia="仿宋" w:cs="仿宋"/>
          <w:color w:val="auto"/>
        </w:rPr>
      </w:pPr>
      <w:r>
        <w:rPr>
          <w:rFonts w:hint="eastAsia" w:ascii="仿宋" w:hAnsi="仿宋" w:eastAsia="仿宋" w:cs="仿宋"/>
          <w:b w:val="0"/>
          <w:bCs/>
          <w:color w:val="auto"/>
          <w:sz w:val="24"/>
        </w:rPr>
        <w:t>2.竞争性</w:t>
      </w:r>
      <w:r>
        <w:rPr>
          <w:rFonts w:hint="eastAsia" w:ascii="仿宋" w:hAnsi="仿宋" w:eastAsia="仿宋" w:cs="仿宋"/>
          <w:b w:val="0"/>
          <w:bCs/>
          <w:color w:val="auto"/>
          <w:sz w:val="24"/>
          <w:lang w:val="en-US" w:eastAsia="zh-CN"/>
        </w:rPr>
        <w:t>磋商</w:t>
      </w:r>
      <w:r>
        <w:rPr>
          <w:rFonts w:hint="eastAsia" w:ascii="仿宋" w:hAnsi="仿宋" w:eastAsia="仿宋" w:cs="仿宋"/>
          <w:b w:val="0"/>
          <w:bCs/>
          <w:color w:val="auto"/>
          <w:sz w:val="24"/>
        </w:rPr>
        <w:t>文件、成交供应商的</w:t>
      </w:r>
      <w:r>
        <w:rPr>
          <w:rFonts w:hint="eastAsia" w:ascii="仿宋" w:hAnsi="仿宋" w:eastAsia="仿宋" w:cs="仿宋"/>
          <w:b w:val="0"/>
          <w:bCs/>
          <w:color w:val="auto"/>
          <w:sz w:val="24"/>
          <w:lang w:val="en-US" w:eastAsia="zh-CN"/>
        </w:rPr>
        <w:t>磋商</w:t>
      </w:r>
      <w:r>
        <w:rPr>
          <w:rFonts w:hint="eastAsia" w:ascii="仿宋" w:hAnsi="仿宋" w:eastAsia="仿宋" w:cs="仿宋"/>
          <w:b w:val="0"/>
          <w:bCs/>
          <w:color w:val="auto"/>
          <w:sz w:val="24"/>
        </w:rPr>
        <w:t>响应文件及澄清函、承诺函；</w:t>
      </w:r>
    </w:p>
    <w:p w14:paraId="786130D7">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五</w:t>
      </w:r>
      <w:r>
        <w:rPr>
          <w:rFonts w:hint="eastAsia" w:ascii="仿宋" w:hAnsi="仿宋" w:eastAsia="仿宋" w:cs="仿宋"/>
          <w:b/>
          <w:bCs/>
          <w:color w:val="auto"/>
          <w:sz w:val="24"/>
        </w:rPr>
        <w:t>、双方的权利和义务</w:t>
      </w:r>
    </w:p>
    <w:p w14:paraId="2AAA8107">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（一）甲方的权利与义务</w:t>
      </w:r>
    </w:p>
    <w:p w14:paraId="14CFAAFB">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1.甲方负责配合本次项目服务工作；</w:t>
      </w:r>
    </w:p>
    <w:p w14:paraId="3E1F45C8">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2.甲方应按本合同的约定向乙方支付合同价款；</w:t>
      </w:r>
    </w:p>
    <w:p w14:paraId="115A74F9">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3.甲方根据需要对乙方提供的服务方案进行审核，提供建议及意见，确定最终实施的运营服务方案，以便乙方遵照执行；</w:t>
      </w:r>
    </w:p>
    <w:p w14:paraId="76A686EF">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4.甲方有权对乙方的工作进行监督和考核。</w:t>
      </w:r>
    </w:p>
    <w:p w14:paraId="7632619B">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（二）乙方的权利与义务</w:t>
      </w:r>
    </w:p>
    <w:p w14:paraId="1F54FB79">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1.乙方的工作人员必须严格遵守甲方的规章制度，以良好的形象和积极的工作态度，按甲方要求开展工作；</w:t>
      </w:r>
    </w:p>
    <w:p w14:paraId="4B48F098">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2.乙方应服从甲方统筹管理并按流程开展工作；</w:t>
      </w:r>
    </w:p>
    <w:p w14:paraId="1DA03BA8">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bCs/>
          <w:color w:val="auto"/>
          <w:sz w:val="24"/>
        </w:rPr>
        <w:t>3.乙方在服务期间发布的任何涉及有关甲方的相关信息，需经甲方确认无误后方可公布。</w:t>
      </w:r>
    </w:p>
    <w:p w14:paraId="49DCA281">
      <w:pPr>
        <w:autoSpaceDE w:val="0"/>
        <w:autoSpaceDN w:val="0"/>
        <w:adjustRightInd w:val="0"/>
        <w:snapToGrid w:val="0"/>
        <w:spacing w:line="360" w:lineRule="auto"/>
        <w:ind w:firstLine="482" w:firstLineChars="200"/>
        <w:rPr>
          <w:rFonts w:hint="eastAsia" w:ascii="仿宋" w:hAnsi="仿宋" w:eastAsia="仿宋" w:cs="仿宋"/>
          <w:b/>
          <w:color w:val="auto"/>
          <w:sz w:val="24"/>
        </w:rPr>
      </w:pPr>
      <w:r>
        <w:rPr>
          <w:rFonts w:hint="eastAsia" w:ascii="仿宋" w:hAnsi="仿宋" w:eastAsia="仿宋" w:cs="仿宋"/>
          <w:b/>
          <w:color w:val="auto"/>
          <w:sz w:val="24"/>
          <w:lang w:val="en-US" w:eastAsia="zh-CN"/>
        </w:rPr>
        <w:t>六</w:t>
      </w:r>
      <w:r>
        <w:rPr>
          <w:rFonts w:hint="eastAsia" w:ascii="仿宋" w:hAnsi="仿宋" w:eastAsia="仿宋" w:cs="仿宋"/>
          <w:b/>
          <w:color w:val="auto"/>
          <w:sz w:val="24"/>
        </w:rPr>
        <w:t>、服务质量保证</w:t>
      </w:r>
    </w:p>
    <w:p w14:paraId="5DECCACE">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（一）乙方需派一名项目负责人，直接与甲方沟通，项目负责人接收甲方提出的问题与要求，并及时反馈给工作组，解决在项目实施过程中遇到的问题。</w:t>
      </w:r>
    </w:p>
    <w:p w14:paraId="711434B0">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（二）项目在实施过程中会出现不可预料的需求变更，乙方需积极配合甲方的需求变更，并按照变更后的需求继续进行方案实施。</w:t>
      </w:r>
    </w:p>
    <w:p w14:paraId="67D2CED3">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（三）乙方需提交所有实施方案流程及说明文档。</w:t>
      </w:r>
    </w:p>
    <w:p w14:paraId="67213CCB">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七</w:t>
      </w:r>
      <w:r>
        <w:rPr>
          <w:rFonts w:hint="eastAsia" w:ascii="仿宋" w:hAnsi="仿宋" w:eastAsia="仿宋" w:cs="仿宋"/>
          <w:b/>
          <w:bCs/>
          <w:color w:val="auto"/>
          <w:sz w:val="24"/>
        </w:rPr>
        <w:t>、知识产权</w:t>
      </w:r>
    </w:p>
    <w:p w14:paraId="743A6460">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 xml:space="preserve">（一）本项目所涉及到的所有成果的知识产权归甲方所有。 </w:t>
      </w:r>
    </w:p>
    <w:p w14:paraId="6E0CF01F">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 xml:space="preserve">（二）乙方无论出于任何目的如在其他地方使用该成果，必须经甲方同意方可使用。否则，贵甲方有权要求终止涉及到该知识产权的任何使用活动并保留追究卖方相应的法律责任的权利。 </w:t>
      </w:r>
    </w:p>
    <w:p w14:paraId="1D19E30E">
      <w:pPr>
        <w:autoSpaceDE w:val="0"/>
        <w:autoSpaceDN w:val="0"/>
        <w:adjustRightInd w:val="0"/>
        <w:snapToGrid w:val="0"/>
        <w:spacing w:line="360" w:lineRule="auto"/>
        <w:ind w:firstLine="480" w:firstLineChars="200"/>
        <w:rPr>
          <w:rFonts w:hint="eastAsia" w:ascii="仿宋" w:hAnsi="仿宋" w:eastAsia="仿宋" w:cs="仿宋"/>
          <w:color w:val="auto"/>
          <w:spacing w:val="-17"/>
          <w:sz w:val="24"/>
        </w:rPr>
      </w:pPr>
      <w:r>
        <w:rPr>
          <w:rFonts w:hint="eastAsia" w:ascii="仿宋" w:hAnsi="仿宋" w:eastAsia="仿宋" w:cs="仿宋"/>
          <w:color w:val="auto"/>
          <w:sz w:val="24"/>
        </w:rPr>
        <w:t>（三）乙方为执行本合同而提供的技术资料使用权归甲方所有。</w:t>
      </w:r>
    </w:p>
    <w:p w14:paraId="713742B1">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八</w:t>
      </w:r>
      <w:r>
        <w:rPr>
          <w:rFonts w:hint="eastAsia" w:ascii="仿宋" w:hAnsi="仿宋" w:eastAsia="仿宋" w:cs="仿宋"/>
          <w:b/>
          <w:bCs/>
          <w:color w:val="auto"/>
          <w:sz w:val="24"/>
        </w:rPr>
        <w:t>、其它事项</w:t>
      </w:r>
    </w:p>
    <w:p w14:paraId="0442829E">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（一）乙方不得转让、分包给其它单位或个人。</w:t>
      </w:r>
    </w:p>
    <w:p w14:paraId="708FB61D">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（二）乙方的磋商响应文件和承诺等内容将列入合同。</w:t>
      </w:r>
    </w:p>
    <w:p w14:paraId="559708B5">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九</w:t>
      </w:r>
      <w:r>
        <w:rPr>
          <w:rFonts w:hint="eastAsia" w:ascii="仿宋" w:hAnsi="仿宋" w:eastAsia="仿宋" w:cs="仿宋"/>
          <w:b/>
          <w:bCs/>
          <w:color w:val="auto"/>
          <w:sz w:val="24"/>
        </w:rPr>
        <w:t>、违约责任</w:t>
      </w:r>
    </w:p>
    <w:p w14:paraId="06AD8D3B">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（一）按《</w:t>
      </w:r>
      <w:r>
        <w:rPr>
          <w:rFonts w:hint="eastAsia" w:ascii="仿宋" w:hAnsi="仿宋" w:eastAsia="仿宋" w:cs="仿宋"/>
          <w:bCs/>
          <w:color w:val="auto"/>
          <w:sz w:val="24"/>
          <w:highlight w:val="none"/>
        </w:rPr>
        <w:t>中华人民共和国</w:t>
      </w:r>
      <w:r>
        <w:rPr>
          <w:rFonts w:hint="eastAsia" w:ascii="仿宋" w:hAnsi="仿宋" w:eastAsia="仿宋" w:cs="仿宋"/>
          <w:bCs/>
          <w:color w:val="auto"/>
          <w:sz w:val="24"/>
          <w:highlight w:val="none"/>
          <w:lang w:val="en-US" w:eastAsia="zh-CN"/>
        </w:rPr>
        <w:t>民法典</w:t>
      </w:r>
      <w:r>
        <w:rPr>
          <w:rFonts w:hint="eastAsia" w:ascii="仿宋" w:hAnsi="仿宋" w:eastAsia="仿宋" w:cs="仿宋"/>
          <w:color w:val="auto"/>
          <w:sz w:val="24"/>
        </w:rPr>
        <w:t>》中的相关条款执行。</w:t>
      </w:r>
    </w:p>
    <w:p w14:paraId="09FA3411">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（二）未按合同要求提供服务或服务质量不能满足本次采购要求，甲方会同监督机构、采购代理机构有权终止合同和对乙方违约行为进行追究，同时按政府采购法的有关规定进行相应的处罚。</w:t>
      </w:r>
    </w:p>
    <w:p w14:paraId="2FD3B1B8">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lang w:val="en-US" w:eastAsia="zh-CN"/>
        </w:rPr>
        <w:t>十</w:t>
      </w:r>
      <w:r>
        <w:rPr>
          <w:rFonts w:hint="eastAsia" w:ascii="仿宋" w:hAnsi="仿宋" w:eastAsia="仿宋" w:cs="仿宋"/>
          <w:b/>
          <w:bCs/>
          <w:color w:val="auto"/>
          <w:sz w:val="24"/>
        </w:rPr>
        <w:t>、合同争议解决的方式</w:t>
      </w:r>
    </w:p>
    <w:p w14:paraId="36078512">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本合同在履行过程中发生的争议，由甲、乙双方当事人协商解决，协商不成的按下列第</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种方式解决：</w:t>
      </w:r>
    </w:p>
    <w:p w14:paraId="584FB4F9">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（一）提交</w:t>
      </w:r>
      <w:r>
        <w:rPr>
          <w:rFonts w:hint="eastAsia" w:ascii="仿宋" w:hAnsi="仿宋" w:eastAsia="仿宋" w:cs="仿宋"/>
          <w:bCs/>
          <w:color w:val="auto"/>
          <w:sz w:val="24"/>
          <w:lang w:val="en-US" w:eastAsia="zh-CN"/>
        </w:rPr>
        <w:t>宁强县</w:t>
      </w:r>
      <w:bookmarkStart w:id="1" w:name="_GoBack"/>
      <w:bookmarkEnd w:id="1"/>
      <w:r>
        <w:rPr>
          <w:rFonts w:hint="eastAsia" w:ascii="仿宋" w:hAnsi="仿宋" w:eastAsia="仿宋" w:cs="仿宋"/>
          <w:bCs/>
          <w:color w:val="auto"/>
          <w:sz w:val="24"/>
        </w:rPr>
        <w:t>仲裁委员会仲裁；</w:t>
      </w:r>
    </w:p>
    <w:p w14:paraId="7BDAF5AC">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（二）依法向甲方所在地人民法院起诉。</w:t>
      </w:r>
    </w:p>
    <w:p w14:paraId="57EBD924">
      <w:pPr>
        <w:autoSpaceDE w:val="0"/>
        <w:autoSpaceDN w:val="0"/>
        <w:adjustRightInd w:val="0"/>
        <w:snapToGrid w:val="0"/>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十</w:t>
      </w:r>
      <w:r>
        <w:rPr>
          <w:rFonts w:hint="eastAsia" w:ascii="仿宋" w:hAnsi="仿宋" w:eastAsia="仿宋" w:cs="仿宋"/>
          <w:b/>
          <w:bCs/>
          <w:color w:val="auto"/>
          <w:sz w:val="24"/>
          <w:lang w:val="en-US" w:eastAsia="zh-CN"/>
        </w:rPr>
        <w:t>一</w:t>
      </w:r>
      <w:r>
        <w:rPr>
          <w:rFonts w:hint="eastAsia" w:ascii="仿宋" w:hAnsi="仿宋" w:eastAsia="仿宋" w:cs="仿宋"/>
          <w:b/>
          <w:bCs/>
          <w:color w:val="auto"/>
          <w:sz w:val="24"/>
        </w:rPr>
        <w:t>、合同生效</w:t>
      </w:r>
    </w:p>
    <w:p w14:paraId="1FBDE805">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（一）本合同须经甲、乙双方的法定代表人（授权代理人）在合同书上</w:t>
      </w:r>
      <w:r>
        <w:rPr>
          <w:rFonts w:hint="eastAsia" w:ascii="仿宋" w:hAnsi="仿宋" w:eastAsia="仿宋" w:cs="仿宋"/>
          <w:bCs/>
          <w:color w:val="auto"/>
          <w:sz w:val="24"/>
          <w:lang w:eastAsia="zh-CN"/>
        </w:rPr>
        <w:t>签字或签章</w:t>
      </w:r>
      <w:r>
        <w:rPr>
          <w:rFonts w:hint="eastAsia" w:ascii="仿宋" w:hAnsi="仿宋" w:eastAsia="仿宋" w:cs="仿宋"/>
          <w:bCs/>
          <w:color w:val="auto"/>
          <w:sz w:val="24"/>
        </w:rPr>
        <w:t>并加盖本单位公章后正式生效。</w:t>
      </w:r>
    </w:p>
    <w:p w14:paraId="61E5E1D3">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（二）合同生效后，甲、乙双方须严格执行本合同条款的规定，全面履行合同，违者按《中华人民共和国</w:t>
      </w:r>
      <w:r>
        <w:rPr>
          <w:rFonts w:hint="eastAsia" w:ascii="仿宋" w:hAnsi="仿宋" w:eastAsia="仿宋" w:cs="仿宋"/>
          <w:bCs/>
          <w:color w:val="auto"/>
          <w:sz w:val="24"/>
          <w:lang w:val="en-US" w:eastAsia="zh-CN"/>
        </w:rPr>
        <w:t>民法典</w:t>
      </w:r>
      <w:r>
        <w:rPr>
          <w:rFonts w:hint="eastAsia" w:ascii="仿宋" w:hAnsi="仿宋" w:eastAsia="仿宋" w:cs="仿宋"/>
          <w:bCs/>
          <w:color w:val="auto"/>
          <w:sz w:val="24"/>
        </w:rPr>
        <w:t>》的有关规定承担相应责任。</w:t>
      </w:r>
    </w:p>
    <w:p w14:paraId="63D6D4E5">
      <w:pPr>
        <w:autoSpaceDE w:val="0"/>
        <w:autoSpaceDN w:val="0"/>
        <w:adjustRightInd w:val="0"/>
        <w:snapToGri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（三）本合同一式</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份，甲乙双方各执</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份。</w:t>
      </w:r>
    </w:p>
    <w:p w14:paraId="111F5C8F">
      <w:pPr>
        <w:autoSpaceDE w:val="0"/>
        <w:autoSpaceDN w:val="0"/>
        <w:adjustRightIn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（四）本合同如有未尽事宜，甲、乙双方协商解决</w:t>
      </w:r>
      <w:r>
        <w:rPr>
          <w:rFonts w:hint="eastAsia" w:ascii="仿宋" w:hAnsi="仿宋" w:eastAsia="仿宋" w:cs="仿宋"/>
          <w:bCs/>
          <w:color w:val="auto"/>
          <w:sz w:val="28"/>
          <w:szCs w:val="28"/>
        </w:rPr>
        <w:t>。</w:t>
      </w:r>
      <w:r>
        <w:rPr>
          <w:rFonts w:hint="eastAsia" w:ascii="仿宋" w:hAnsi="仿宋" w:eastAsia="仿宋" w:cs="仿宋"/>
          <w:bCs/>
          <w:color w:val="auto"/>
          <w:sz w:val="24"/>
          <w:highlight w:val="none"/>
        </w:rPr>
        <w:t xml:space="preserve"> </w:t>
      </w:r>
    </w:p>
    <w:tbl>
      <w:tblPr>
        <w:tblStyle w:val="5"/>
        <w:tblW w:w="0" w:type="auto"/>
        <w:jc w:val="center"/>
        <w:tblLayout w:type="fixed"/>
        <w:tblCellMar>
          <w:top w:w="0" w:type="dxa"/>
          <w:left w:w="108" w:type="dxa"/>
          <w:bottom w:w="0" w:type="dxa"/>
          <w:right w:w="108" w:type="dxa"/>
        </w:tblCellMar>
      </w:tblPr>
      <w:tblGrid>
        <w:gridCol w:w="4199"/>
        <w:gridCol w:w="4200"/>
      </w:tblGrid>
      <w:tr w14:paraId="12E61F93">
        <w:tblPrEx>
          <w:tblCellMar>
            <w:top w:w="0" w:type="dxa"/>
            <w:left w:w="108" w:type="dxa"/>
            <w:bottom w:w="0" w:type="dxa"/>
            <w:right w:w="108" w:type="dxa"/>
          </w:tblCellMar>
        </w:tblPrEx>
        <w:trPr>
          <w:trHeight w:val="541" w:hRule="exact"/>
          <w:jc w:val="center"/>
        </w:trPr>
        <w:tc>
          <w:tcPr>
            <w:tcW w:w="4199" w:type="dxa"/>
            <w:noWrap w:val="0"/>
            <w:vAlign w:val="center"/>
          </w:tcPr>
          <w:p w14:paraId="57BDB201">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甲  方</w:t>
            </w:r>
          </w:p>
        </w:tc>
        <w:tc>
          <w:tcPr>
            <w:tcW w:w="4200" w:type="dxa"/>
            <w:noWrap w:val="0"/>
            <w:vAlign w:val="center"/>
          </w:tcPr>
          <w:p w14:paraId="24A2366B">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乙  方</w:t>
            </w:r>
          </w:p>
        </w:tc>
      </w:tr>
      <w:tr w14:paraId="03A5FFD9">
        <w:tblPrEx>
          <w:tblCellMar>
            <w:top w:w="0" w:type="dxa"/>
            <w:left w:w="108" w:type="dxa"/>
            <w:bottom w:w="0" w:type="dxa"/>
            <w:right w:w="108" w:type="dxa"/>
          </w:tblCellMar>
        </w:tblPrEx>
        <w:trPr>
          <w:trHeight w:val="541" w:hRule="exact"/>
          <w:jc w:val="center"/>
        </w:trPr>
        <w:tc>
          <w:tcPr>
            <w:tcW w:w="4199" w:type="dxa"/>
            <w:noWrap w:val="0"/>
            <w:vAlign w:val="center"/>
          </w:tcPr>
          <w:p w14:paraId="6B043830">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（盖章）</w:t>
            </w:r>
          </w:p>
        </w:tc>
        <w:tc>
          <w:tcPr>
            <w:tcW w:w="4200" w:type="dxa"/>
            <w:noWrap w:val="0"/>
            <w:vAlign w:val="center"/>
          </w:tcPr>
          <w:p w14:paraId="7F737D5B">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（盖章）</w:t>
            </w:r>
          </w:p>
        </w:tc>
      </w:tr>
      <w:tr w14:paraId="52ED6524">
        <w:tblPrEx>
          <w:tblCellMar>
            <w:top w:w="0" w:type="dxa"/>
            <w:left w:w="108" w:type="dxa"/>
            <w:bottom w:w="0" w:type="dxa"/>
            <w:right w:w="108" w:type="dxa"/>
          </w:tblCellMar>
        </w:tblPrEx>
        <w:trPr>
          <w:trHeight w:val="541" w:hRule="exact"/>
          <w:jc w:val="center"/>
        </w:trPr>
        <w:tc>
          <w:tcPr>
            <w:tcW w:w="4199" w:type="dxa"/>
            <w:noWrap w:val="0"/>
            <w:vAlign w:val="center"/>
          </w:tcPr>
          <w:p w14:paraId="18D80FF9">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 xml:space="preserve">地址： </w:t>
            </w:r>
          </w:p>
        </w:tc>
        <w:tc>
          <w:tcPr>
            <w:tcW w:w="4200" w:type="dxa"/>
            <w:noWrap w:val="0"/>
            <w:vAlign w:val="center"/>
          </w:tcPr>
          <w:p w14:paraId="43B3F827">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地址：</w:t>
            </w:r>
          </w:p>
        </w:tc>
      </w:tr>
      <w:tr w14:paraId="0E0C3D2C">
        <w:tblPrEx>
          <w:tblCellMar>
            <w:top w:w="0" w:type="dxa"/>
            <w:left w:w="108" w:type="dxa"/>
            <w:bottom w:w="0" w:type="dxa"/>
            <w:right w:w="108" w:type="dxa"/>
          </w:tblCellMar>
        </w:tblPrEx>
        <w:trPr>
          <w:trHeight w:val="541" w:hRule="exact"/>
          <w:jc w:val="center"/>
        </w:trPr>
        <w:tc>
          <w:tcPr>
            <w:tcW w:w="4199" w:type="dxa"/>
            <w:noWrap w:val="0"/>
            <w:vAlign w:val="center"/>
          </w:tcPr>
          <w:p w14:paraId="67173EAA">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邮编：</w:t>
            </w:r>
          </w:p>
        </w:tc>
        <w:tc>
          <w:tcPr>
            <w:tcW w:w="4200" w:type="dxa"/>
            <w:noWrap w:val="0"/>
            <w:vAlign w:val="center"/>
          </w:tcPr>
          <w:p w14:paraId="5EB43FBC">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邮编：</w:t>
            </w:r>
          </w:p>
        </w:tc>
      </w:tr>
      <w:tr w14:paraId="487D13BC">
        <w:tblPrEx>
          <w:tblCellMar>
            <w:top w:w="0" w:type="dxa"/>
            <w:left w:w="108" w:type="dxa"/>
            <w:bottom w:w="0" w:type="dxa"/>
            <w:right w:w="108" w:type="dxa"/>
          </w:tblCellMar>
        </w:tblPrEx>
        <w:trPr>
          <w:trHeight w:val="541" w:hRule="exact"/>
          <w:jc w:val="center"/>
        </w:trPr>
        <w:tc>
          <w:tcPr>
            <w:tcW w:w="4199" w:type="dxa"/>
            <w:noWrap w:val="0"/>
            <w:vAlign w:val="center"/>
          </w:tcPr>
          <w:p w14:paraId="42D73D7A">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 xml:space="preserve">法定代表人： </w:t>
            </w:r>
          </w:p>
        </w:tc>
        <w:tc>
          <w:tcPr>
            <w:tcW w:w="4200" w:type="dxa"/>
            <w:noWrap w:val="0"/>
            <w:vAlign w:val="center"/>
          </w:tcPr>
          <w:p w14:paraId="262654E2">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法定代表人：</w:t>
            </w:r>
          </w:p>
        </w:tc>
      </w:tr>
      <w:tr w14:paraId="4E5327AC">
        <w:tblPrEx>
          <w:tblCellMar>
            <w:top w:w="0" w:type="dxa"/>
            <w:left w:w="108" w:type="dxa"/>
            <w:bottom w:w="0" w:type="dxa"/>
            <w:right w:w="108" w:type="dxa"/>
          </w:tblCellMar>
        </w:tblPrEx>
        <w:trPr>
          <w:trHeight w:val="541" w:hRule="exact"/>
          <w:jc w:val="center"/>
        </w:trPr>
        <w:tc>
          <w:tcPr>
            <w:tcW w:w="4199" w:type="dxa"/>
            <w:noWrap w:val="0"/>
            <w:vAlign w:val="center"/>
          </w:tcPr>
          <w:p w14:paraId="05590382">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被授权代表：</w:t>
            </w:r>
          </w:p>
        </w:tc>
        <w:tc>
          <w:tcPr>
            <w:tcW w:w="4200" w:type="dxa"/>
            <w:noWrap w:val="0"/>
            <w:vAlign w:val="center"/>
          </w:tcPr>
          <w:p w14:paraId="6A29DF39">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被授权代表：</w:t>
            </w:r>
          </w:p>
        </w:tc>
      </w:tr>
      <w:tr w14:paraId="51C7F69B">
        <w:tblPrEx>
          <w:tblCellMar>
            <w:top w:w="0" w:type="dxa"/>
            <w:left w:w="108" w:type="dxa"/>
            <w:bottom w:w="0" w:type="dxa"/>
            <w:right w:w="108" w:type="dxa"/>
          </w:tblCellMar>
        </w:tblPrEx>
        <w:trPr>
          <w:trHeight w:val="541" w:hRule="exact"/>
          <w:jc w:val="center"/>
        </w:trPr>
        <w:tc>
          <w:tcPr>
            <w:tcW w:w="4199" w:type="dxa"/>
            <w:noWrap w:val="0"/>
            <w:vAlign w:val="center"/>
          </w:tcPr>
          <w:p w14:paraId="39709DAC">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电话：</w:t>
            </w:r>
          </w:p>
        </w:tc>
        <w:tc>
          <w:tcPr>
            <w:tcW w:w="4200" w:type="dxa"/>
            <w:noWrap w:val="0"/>
            <w:vAlign w:val="center"/>
          </w:tcPr>
          <w:p w14:paraId="29C0A048">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电话：</w:t>
            </w:r>
          </w:p>
        </w:tc>
      </w:tr>
      <w:tr w14:paraId="4B73ADCC">
        <w:tblPrEx>
          <w:tblCellMar>
            <w:top w:w="0" w:type="dxa"/>
            <w:left w:w="108" w:type="dxa"/>
            <w:bottom w:w="0" w:type="dxa"/>
            <w:right w:w="108" w:type="dxa"/>
          </w:tblCellMar>
        </w:tblPrEx>
        <w:trPr>
          <w:trHeight w:val="541" w:hRule="exact"/>
          <w:jc w:val="center"/>
        </w:trPr>
        <w:tc>
          <w:tcPr>
            <w:tcW w:w="4199" w:type="dxa"/>
            <w:noWrap w:val="0"/>
            <w:vAlign w:val="center"/>
          </w:tcPr>
          <w:p w14:paraId="5AB4C419">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传真：</w:t>
            </w:r>
          </w:p>
        </w:tc>
        <w:tc>
          <w:tcPr>
            <w:tcW w:w="4200" w:type="dxa"/>
            <w:noWrap w:val="0"/>
            <w:vAlign w:val="center"/>
          </w:tcPr>
          <w:p w14:paraId="51A37499">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传真：</w:t>
            </w:r>
          </w:p>
        </w:tc>
      </w:tr>
      <w:tr w14:paraId="5C5F3100">
        <w:tblPrEx>
          <w:tblCellMar>
            <w:top w:w="0" w:type="dxa"/>
            <w:left w:w="108" w:type="dxa"/>
            <w:bottom w:w="0" w:type="dxa"/>
            <w:right w:w="108" w:type="dxa"/>
          </w:tblCellMar>
        </w:tblPrEx>
        <w:trPr>
          <w:trHeight w:val="541" w:hRule="exact"/>
          <w:jc w:val="center"/>
        </w:trPr>
        <w:tc>
          <w:tcPr>
            <w:tcW w:w="4199" w:type="dxa"/>
            <w:noWrap w:val="0"/>
            <w:vAlign w:val="center"/>
          </w:tcPr>
          <w:p w14:paraId="62F60316">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开户银行：</w:t>
            </w:r>
          </w:p>
        </w:tc>
        <w:tc>
          <w:tcPr>
            <w:tcW w:w="4200" w:type="dxa"/>
            <w:noWrap w:val="0"/>
            <w:vAlign w:val="center"/>
          </w:tcPr>
          <w:p w14:paraId="373575DC">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开户银行：</w:t>
            </w:r>
          </w:p>
        </w:tc>
      </w:tr>
      <w:tr w14:paraId="10A4BFCC">
        <w:tblPrEx>
          <w:tblCellMar>
            <w:top w:w="0" w:type="dxa"/>
            <w:left w:w="108" w:type="dxa"/>
            <w:bottom w:w="0" w:type="dxa"/>
            <w:right w:w="108" w:type="dxa"/>
          </w:tblCellMar>
        </w:tblPrEx>
        <w:trPr>
          <w:trHeight w:val="541" w:hRule="exact"/>
          <w:jc w:val="center"/>
        </w:trPr>
        <w:tc>
          <w:tcPr>
            <w:tcW w:w="4199" w:type="dxa"/>
            <w:noWrap w:val="0"/>
            <w:vAlign w:val="center"/>
          </w:tcPr>
          <w:p w14:paraId="3A6A24E2">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开户行账号：</w:t>
            </w:r>
          </w:p>
        </w:tc>
        <w:tc>
          <w:tcPr>
            <w:tcW w:w="4200" w:type="dxa"/>
            <w:noWrap w:val="0"/>
            <w:vAlign w:val="center"/>
          </w:tcPr>
          <w:p w14:paraId="1E5C9BB5">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开户行账号：</w:t>
            </w:r>
          </w:p>
        </w:tc>
      </w:tr>
      <w:tr w14:paraId="3BBD0126">
        <w:tblPrEx>
          <w:tblCellMar>
            <w:top w:w="0" w:type="dxa"/>
            <w:left w:w="108" w:type="dxa"/>
            <w:bottom w:w="0" w:type="dxa"/>
            <w:right w:w="108" w:type="dxa"/>
          </w:tblCellMar>
        </w:tblPrEx>
        <w:trPr>
          <w:trHeight w:val="541" w:hRule="exact"/>
          <w:jc w:val="center"/>
        </w:trPr>
        <w:tc>
          <w:tcPr>
            <w:tcW w:w="4199" w:type="dxa"/>
            <w:noWrap w:val="0"/>
            <w:vAlign w:val="center"/>
          </w:tcPr>
          <w:p w14:paraId="6AC1BE49">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日期：</w:t>
            </w:r>
          </w:p>
        </w:tc>
        <w:tc>
          <w:tcPr>
            <w:tcW w:w="4200" w:type="dxa"/>
            <w:noWrap w:val="0"/>
            <w:vAlign w:val="center"/>
          </w:tcPr>
          <w:p w14:paraId="4F4D58A4">
            <w:pPr>
              <w:autoSpaceDE w:val="0"/>
              <w:autoSpaceDN w:val="0"/>
              <w:adjustRightInd w:val="0"/>
              <w:spacing w:line="360"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日期：</w:t>
            </w:r>
          </w:p>
        </w:tc>
      </w:tr>
    </w:tbl>
    <w:p w14:paraId="2ACD3E40">
      <w:pPr>
        <w:rPr>
          <w:rFonts w:hint="eastAsia" w:ascii="仿宋" w:hAnsi="仿宋" w:eastAsia="仿宋" w:cs="仿宋"/>
          <w:bCs/>
          <w:color w:val="auto"/>
          <w:sz w:val="24"/>
        </w:rPr>
      </w:pPr>
    </w:p>
    <w:p w14:paraId="61DA3C0B">
      <w:pPr>
        <w:bidi w:val="0"/>
        <w:rPr>
          <w:rFonts w:hint="eastAsia" w:ascii="仿宋" w:hAnsi="仿宋" w:eastAsia="仿宋" w:cs="仿宋"/>
          <w:highlight w:val="none"/>
        </w:rPr>
      </w:pPr>
      <w:r>
        <w:rPr>
          <w:rFonts w:hint="eastAsia" w:ascii="仿宋" w:hAnsi="仿宋" w:eastAsia="仿宋" w:cs="仿宋"/>
          <w:bCs/>
          <w:color w:val="auto"/>
          <w:sz w:val="24"/>
        </w:rPr>
        <w:t>备注：合同模板仅供参考，具体以实际签订合同为准。</w:t>
      </w:r>
    </w:p>
    <w:p w14:paraId="16FD6BBD">
      <w:pPr>
        <w:rPr>
          <w:rFonts w:hint="eastAsia" w:ascii="仿宋" w:hAnsi="仿宋" w:eastAsia="仿宋" w:cs="仿宋"/>
        </w:rPr>
      </w:pPr>
    </w:p>
    <w:p w14:paraId="177E0880">
      <w:pPr>
        <w:rPr>
          <w:rFonts w:hint="eastAsia" w:ascii="仿宋" w:hAnsi="仿宋" w:eastAsia="仿宋" w:cs="仿宋"/>
        </w:rPr>
      </w:pPr>
    </w:p>
    <w:sectPr>
      <w:pgSz w:w="11906" w:h="16838"/>
      <w:pgMar w:top="1327" w:right="1406" w:bottom="1327"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736A29"/>
    <w:rsid w:val="141F6347"/>
    <w:rsid w:val="269E759F"/>
    <w:rsid w:val="37AB1B1C"/>
    <w:rsid w:val="3A26011A"/>
    <w:rsid w:val="3EFE4C27"/>
    <w:rsid w:val="4AFB201B"/>
    <w:rsid w:val="53B8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200" w:after="200" w:line="240" w:lineRule="auto"/>
      <w:ind w:left="0" w:right="0"/>
      <w:jc w:val="center"/>
      <w:outlineLvl w:val="0"/>
    </w:pPr>
    <w:rPr>
      <w:rFonts w:ascii="PMingLiU" w:hAnsi="PMingLiU" w:eastAsia="宋体" w:cs="PMingLiU"/>
      <w:b/>
      <w:sz w:val="32"/>
      <w:szCs w:val="43"/>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4">
    <w:name w:val="Normal Indent"/>
    <w:basedOn w:val="1"/>
    <w:qFormat/>
    <w:uiPriority w:val="0"/>
    <w:pPr>
      <w:ind w:firstLine="420"/>
    </w:pPr>
    <w:rPr>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1786</Words>
  <Characters>1833</Characters>
  <Lines>0</Lines>
  <Paragraphs>0</Paragraphs>
  <TotalTime>4</TotalTime>
  <ScaleCrop>false</ScaleCrop>
  <LinksUpToDate>false</LinksUpToDate>
  <CharactersWithSpaces>2009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2026-03-09T05:21:00Z</dcterms:created>
  <dc:creator>HAOYOU</dc:creator>
  <cp:lastModifiedBy>风吹花落泪如雨</cp:lastModifiedBy>
  <dcterms:modified xsi:type="dcterms:W3CDTF">2026-04-14T01:40:59Z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eyJoZGlkIjoiNDhlNTU2ZDM0ZWJmNmVkNGYwMmM5MTM3ZTkzMzA3NzAiLCJ1c2VySWQiOiI0Mjg4ODQxOTUifQ==</vt:lpwstr>
  </property>
  <property fmtid="{D5CDD505-2E9C-101B-9397-08002B2CF9AE}" pid="4" name="ICV">
    <vt:lpwstr>DCD0BFEF926D44348333EBECDD9314F7_12</vt:lpwstr>
  </property>
</Properties>
</file>