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版本号：ZYTZ2025-10820251018001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略阳县文旅局灵岩寺沿江步道提升项目初步设计方案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ZYTZ2025-108</w:t>
      </w:r>
      <w:r>
        <w:br/>
      </w:r>
      <w:r>
        <w:br/>
      </w:r>
      <w:r>
        <w:br/>
      </w:r>
    </w:p>
    <w:p>
      <w:pPr>
        <w:pStyle w:val="null3"/>
        <w:jc w:val="center"/>
        <w:outlineLvl w:val="2"/>
      </w:pPr>
      <w:r>
        <w:rPr>
          <w:rFonts w:ascii="仿宋_GB2312" w:hAnsi="仿宋_GB2312" w:cs="仿宋_GB2312" w:eastAsia="仿宋_GB2312"/>
          <w:sz w:val="28"/>
          <w:b/>
        </w:rPr>
        <w:t>略阳县文化和旅游局</w:t>
      </w:r>
    </w:p>
    <w:p>
      <w:pPr>
        <w:pStyle w:val="null3"/>
        <w:jc w:val="center"/>
        <w:outlineLvl w:val="2"/>
      </w:pPr>
      <w:r>
        <w:rPr>
          <w:rFonts w:ascii="仿宋_GB2312" w:hAnsi="仿宋_GB2312" w:cs="仿宋_GB2312" w:eastAsia="仿宋_GB2312"/>
          <w:sz w:val="28"/>
          <w:b/>
        </w:rPr>
        <w:t>陕西中益建设投资有限公司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陕西中益建设投资有限公司</w:t>
      </w:r>
      <w:r>
        <w:rPr>
          <w:rFonts w:ascii="仿宋_GB2312" w:hAnsi="仿宋_GB2312" w:cs="仿宋_GB2312" w:eastAsia="仿宋_GB2312"/>
        </w:rPr>
        <w:t>（以下简称“代理机构”）受</w:t>
      </w:r>
      <w:r>
        <w:rPr>
          <w:rFonts w:ascii="仿宋_GB2312" w:hAnsi="仿宋_GB2312" w:cs="仿宋_GB2312" w:eastAsia="仿宋_GB2312"/>
        </w:rPr>
        <w:t>略阳县文化和旅游局</w:t>
      </w:r>
      <w:r>
        <w:rPr>
          <w:rFonts w:ascii="仿宋_GB2312" w:hAnsi="仿宋_GB2312" w:cs="仿宋_GB2312" w:eastAsia="仿宋_GB2312"/>
        </w:rPr>
        <w:t>委托，拟对</w:t>
      </w:r>
      <w:r>
        <w:rPr>
          <w:rFonts w:ascii="仿宋_GB2312" w:hAnsi="仿宋_GB2312" w:cs="仿宋_GB2312" w:eastAsia="仿宋_GB2312"/>
        </w:rPr>
        <w:t>略阳县文旅局灵岩寺沿江步道提升项目初步设计方案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ZYTZ2025-108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略阳县文旅局灵岩寺沿江步道提升项目初步设计方案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编制灵岩寺沿江步道提升建设项目初步设计方案。（具体以采购内容为准）成果交付期限：30天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采购包1（初步设计）：属于专门面向小微企业采购。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pPr>
      <w:r>
        <w:rPr>
          <w:rFonts w:ascii="仿宋_GB2312" w:hAnsi="仿宋_GB2312" w:cs="仿宋_GB2312" w:eastAsia="仿宋_GB2312"/>
        </w:rPr>
        <w:t>4、供应商须同时具备公路行业(公路)专业、建筑行业（建筑工程）、工程勘察乙级及以上。拟派设计负责人具有中级及以上技术职称，并在本项目工程设计人员配备方面具有相应的设计能力和实践经验。：供应商须同时具备公路行业(公路)专业、建筑行业（建筑工程）、工程勘察乙级及以上。拟派设计负责人具有中级及以上技术职称，并在本项目工程设计人员配备方面具有相应的设计能力和实践经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陕西省汉中市略阳县羌文化广场文化馆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0916—4827990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陕西中益建设投资有限公司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汉中市汉台区东关街道办事处东关正街263号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17609268971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开户名称：陕西中益建设投资有限公司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银行账号：2606053909200001544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略阳县文化和旅游局</w:t>
      </w:r>
      <w:r>
        <w:rPr>
          <w:rFonts w:ascii="仿宋_GB2312" w:hAnsi="仿宋_GB2312" w:cs="仿宋_GB2312" w:eastAsia="仿宋_GB2312"/>
        </w:rPr>
        <w:t>和</w:t>
      </w:r>
      <w:r>
        <w:rPr>
          <w:rFonts w:ascii="仿宋_GB2312" w:hAnsi="仿宋_GB2312" w:cs="仿宋_GB2312" w:eastAsia="仿宋_GB2312"/>
        </w:rPr>
        <w:t>陕西中益建设投资有限公司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陕西中益建设投资有限公司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陕西中益建设投资有限公司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质里达到国家行业合格标准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陕西中益建设投资有限公司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联系人：杜女士</w:t>
      </w:r>
    </w:p>
    <w:p>
      <w:pPr>
        <w:pStyle w:val="null3"/>
      </w:pPr>
      <w:r>
        <w:rPr>
          <w:rFonts w:ascii="仿宋_GB2312" w:hAnsi="仿宋_GB2312" w:cs="仿宋_GB2312" w:eastAsia="仿宋_GB2312"/>
        </w:rPr>
        <w:t>联系电话：17609268971</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编制灵岩寺沿江步道提升建设项目初步设计方案。（具体以采购内容为准）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灵岩寺沿江步道提升项目初步设计方案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标的名称：灵岩寺沿江步道提升项目初步设计方案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采购内容及要求</w:t>
            </w:r>
          </w:p>
          <w:p>
            <w:pPr>
              <w:pStyle w:val="null3"/>
              <w:ind w:firstLine="560"/>
              <w:jc w:val="both"/>
            </w:pPr>
            <w:r>
              <w:rPr>
                <w:rFonts w:ascii="仿宋_GB2312" w:hAnsi="仿宋_GB2312" w:cs="仿宋_GB2312" w:eastAsia="仿宋_GB2312"/>
                <w:sz w:val="28"/>
              </w:rPr>
              <w:t>一、采购内容</w:t>
            </w:r>
          </w:p>
          <w:p>
            <w:pPr>
              <w:pStyle w:val="null3"/>
              <w:ind w:firstLine="560"/>
              <w:jc w:val="both"/>
            </w:pPr>
            <w:r>
              <w:rPr>
                <w:rFonts w:ascii="仿宋_GB2312" w:hAnsi="仿宋_GB2312" w:cs="仿宋_GB2312" w:eastAsia="仿宋_GB2312"/>
                <w:sz w:val="28"/>
              </w:rPr>
              <w:t>1.项目基本情况</w:t>
            </w:r>
          </w:p>
          <w:p>
            <w:pPr>
              <w:pStyle w:val="null3"/>
              <w:ind w:firstLine="560"/>
              <w:jc w:val="both"/>
            </w:pPr>
            <w:r>
              <w:rPr>
                <w:rFonts w:ascii="仿宋_GB2312" w:hAnsi="仿宋_GB2312" w:cs="仿宋_GB2312" w:eastAsia="仿宋_GB2312"/>
                <w:sz w:val="28"/>
              </w:rPr>
              <w:t>拟建项目在略阳县城区南</w:t>
            </w:r>
            <w:r>
              <w:rPr>
                <w:rFonts w:ascii="仿宋_GB2312" w:hAnsi="仿宋_GB2312" w:cs="仿宋_GB2312" w:eastAsia="仿宋_GB2312"/>
                <w:sz w:val="28"/>
              </w:rPr>
              <w:t>灵岩</w:t>
            </w:r>
            <w:r>
              <w:rPr>
                <w:rFonts w:ascii="仿宋_GB2312" w:hAnsi="仿宋_GB2312" w:cs="仿宋_GB2312" w:eastAsia="仿宋_GB2312"/>
                <w:sz w:val="28"/>
              </w:rPr>
              <w:t>寺景区</w:t>
            </w:r>
            <w:r>
              <w:rPr>
                <w:rFonts w:ascii="仿宋_GB2312" w:hAnsi="仿宋_GB2312" w:cs="仿宋_GB2312" w:eastAsia="仿宋_GB2312"/>
                <w:sz w:val="28"/>
              </w:rPr>
              <w:t>,</w:t>
            </w:r>
            <w:r>
              <w:rPr>
                <w:rFonts w:ascii="仿宋_GB2312" w:hAnsi="仿宋_GB2312" w:cs="仿宋_GB2312" w:eastAsia="仿宋_GB2312"/>
                <w:sz w:val="28"/>
              </w:rPr>
              <w:t>为消除安全隐患</w:t>
            </w:r>
            <w:r>
              <w:rPr>
                <w:rFonts w:ascii="仿宋_GB2312" w:hAnsi="仿宋_GB2312" w:cs="仿宋_GB2312" w:eastAsia="仿宋_GB2312"/>
                <w:sz w:val="28"/>
              </w:rPr>
              <w:t>,方便游客</w:t>
            </w:r>
            <w:r>
              <w:rPr>
                <w:rFonts w:ascii="仿宋_GB2312" w:hAnsi="仿宋_GB2312" w:cs="仿宋_GB2312" w:eastAsia="仿宋_GB2312"/>
                <w:sz w:val="28"/>
              </w:rPr>
              <w:t>出行</w:t>
            </w:r>
            <w:r>
              <w:rPr>
                <w:rFonts w:ascii="仿宋_GB2312" w:hAnsi="仿宋_GB2312" w:cs="仿宋_GB2312" w:eastAsia="仿宋_GB2312"/>
                <w:sz w:val="28"/>
              </w:rPr>
              <w:t>,增加旅游观光的体验感</w:t>
            </w:r>
            <w:r>
              <w:rPr>
                <w:rFonts w:ascii="仿宋_GB2312" w:hAnsi="仿宋_GB2312" w:cs="仿宋_GB2312" w:eastAsia="仿宋_GB2312"/>
                <w:sz w:val="28"/>
              </w:rPr>
              <w:t>，</w:t>
            </w:r>
            <w:r>
              <w:rPr>
                <w:rFonts w:ascii="仿宋_GB2312" w:hAnsi="仿宋_GB2312" w:cs="仿宋_GB2312" w:eastAsia="仿宋_GB2312"/>
                <w:sz w:val="28"/>
              </w:rPr>
              <w:t>新建一座</w:t>
            </w:r>
            <w:r>
              <w:rPr>
                <w:rFonts w:ascii="仿宋_GB2312" w:hAnsi="仿宋_GB2312" w:cs="仿宋_GB2312" w:eastAsia="仿宋_GB2312"/>
                <w:sz w:val="28"/>
              </w:rPr>
              <w:t>人行天桥横跨</w:t>
            </w:r>
            <w:r>
              <w:rPr>
                <w:rFonts w:ascii="仿宋_GB2312" w:hAnsi="仿宋_GB2312" w:cs="仿宋_GB2312" w:eastAsia="仿宋_GB2312"/>
                <w:sz w:val="28"/>
              </w:rPr>
              <w:t>S</w:t>
            </w:r>
            <w:r>
              <w:rPr>
                <w:rFonts w:ascii="仿宋_GB2312" w:hAnsi="仿宋_GB2312" w:cs="仿宋_GB2312" w:eastAsia="仿宋_GB2312"/>
                <w:sz w:val="28"/>
              </w:rPr>
              <w:t>317省道，沿嘉陵江左岸S317省道临河修建人行旅游步道。</w:t>
            </w:r>
            <w:r>
              <w:rPr>
                <w:rFonts w:ascii="仿宋_GB2312" w:hAnsi="仿宋_GB2312" w:cs="仿宋_GB2312" w:eastAsia="仿宋_GB2312"/>
                <w:sz w:val="28"/>
              </w:rPr>
              <w:t>项目</w:t>
            </w:r>
            <w:r>
              <w:rPr>
                <w:rFonts w:ascii="仿宋_GB2312" w:hAnsi="仿宋_GB2312" w:cs="仿宋_GB2312" w:eastAsia="仿宋_GB2312"/>
                <w:sz w:val="28"/>
              </w:rPr>
              <w:t>设计</w:t>
            </w:r>
            <w:r>
              <w:rPr>
                <w:rFonts w:ascii="仿宋_GB2312" w:hAnsi="仿宋_GB2312" w:cs="仿宋_GB2312" w:eastAsia="仿宋_GB2312"/>
                <w:sz w:val="28"/>
              </w:rPr>
              <w:t>内容包括</w:t>
            </w:r>
            <w:r>
              <w:rPr>
                <w:rFonts w:ascii="仿宋_GB2312" w:hAnsi="仿宋_GB2312" w:cs="仿宋_GB2312" w:eastAsia="仿宋_GB2312"/>
                <w:sz w:val="28"/>
              </w:rPr>
              <w:t>人行步道</w:t>
            </w:r>
            <w:r>
              <w:rPr>
                <w:rFonts w:ascii="仿宋_GB2312" w:hAnsi="仿宋_GB2312" w:cs="仿宋_GB2312" w:eastAsia="仿宋_GB2312"/>
                <w:sz w:val="28"/>
              </w:rPr>
              <w:t>772米(步道桥140米)、过街天桥17米/1座的</w:t>
            </w:r>
            <w:r>
              <w:rPr>
                <w:rFonts w:ascii="仿宋_GB2312" w:hAnsi="仿宋_GB2312" w:cs="仿宋_GB2312" w:eastAsia="仿宋_GB2312"/>
                <w:sz w:val="28"/>
              </w:rPr>
              <w:t>工程勘察、</w:t>
            </w:r>
            <w:r>
              <w:rPr>
                <w:rFonts w:ascii="仿宋_GB2312" w:hAnsi="仿宋_GB2312" w:cs="仿宋_GB2312" w:eastAsia="仿宋_GB2312"/>
                <w:sz w:val="28"/>
              </w:rPr>
              <w:t>两阶段</w:t>
            </w:r>
            <w:r>
              <w:rPr>
                <w:rFonts w:ascii="仿宋_GB2312" w:hAnsi="仿宋_GB2312" w:cs="仿宋_GB2312" w:eastAsia="仿宋_GB2312"/>
                <w:sz w:val="28"/>
              </w:rPr>
              <w:t>初步设计、</w:t>
            </w:r>
            <w:r>
              <w:rPr>
                <w:rFonts w:ascii="仿宋_GB2312" w:hAnsi="仿宋_GB2312" w:cs="仿宋_GB2312" w:eastAsia="仿宋_GB2312"/>
                <w:sz w:val="28"/>
              </w:rPr>
              <w:t>两阶段</w:t>
            </w:r>
            <w:r>
              <w:rPr>
                <w:rFonts w:ascii="仿宋_GB2312" w:hAnsi="仿宋_GB2312" w:cs="仿宋_GB2312" w:eastAsia="仿宋_GB2312"/>
                <w:sz w:val="28"/>
              </w:rPr>
              <w:t>施工图设计及</w:t>
            </w:r>
            <w:r>
              <w:rPr>
                <w:rFonts w:ascii="仿宋_GB2312" w:hAnsi="仿宋_GB2312" w:cs="仿宋_GB2312" w:eastAsia="仿宋_GB2312"/>
                <w:sz w:val="28"/>
              </w:rPr>
              <w:t>概</w:t>
            </w:r>
            <w:r>
              <w:rPr>
                <w:rFonts w:ascii="仿宋_GB2312" w:hAnsi="仿宋_GB2312" w:cs="仿宋_GB2312" w:eastAsia="仿宋_GB2312"/>
                <w:sz w:val="28"/>
              </w:rPr>
              <w:t>预算编制</w:t>
            </w:r>
            <w:r>
              <w:rPr>
                <w:rFonts w:ascii="仿宋_GB2312" w:hAnsi="仿宋_GB2312" w:cs="仿宋_GB2312" w:eastAsia="仿宋_GB2312"/>
                <w:sz w:val="28"/>
              </w:rPr>
              <w:t>工作。</w:t>
            </w:r>
          </w:p>
          <w:p>
            <w:pPr>
              <w:pStyle w:val="null3"/>
              <w:ind w:firstLine="560"/>
              <w:jc w:val="both"/>
            </w:pPr>
            <w:r>
              <w:rPr>
                <w:rFonts w:ascii="仿宋_GB2312" w:hAnsi="仿宋_GB2312" w:cs="仿宋_GB2312" w:eastAsia="仿宋_GB2312"/>
                <w:sz w:val="28"/>
              </w:rPr>
              <w:t>2.服务内容与质量标准</w:t>
            </w:r>
          </w:p>
          <w:p>
            <w:pPr>
              <w:pStyle w:val="null3"/>
              <w:ind w:firstLine="560"/>
              <w:jc w:val="both"/>
            </w:pPr>
            <w:r>
              <w:rPr>
                <w:rFonts w:ascii="仿宋_GB2312" w:hAnsi="仿宋_GB2312" w:cs="仿宋_GB2312" w:eastAsia="仿宋_GB2312"/>
                <w:sz w:val="28"/>
              </w:rPr>
              <w:t>2.1完成</w:t>
            </w:r>
            <w:r>
              <w:rPr>
                <w:rFonts w:ascii="仿宋_GB2312" w:hAnsi="仿宋_GB2312" w:cs="仿宋_GB2312" w:eastAsia="仿宋_GB2312"/>
                <w:sz w:val="28"/>
              </w:rPr>
              <w:t>略阳县灵岩寺沿江步道提升建设项目</w:t>
            </w:r>
            <w:r>
              <w:rPr>
                <w:rFonts w:ascii="仿宋_GB2312" w:hAnsi="仿宋_GB2312" w:cs="仿宋_GB2312" w:eastAsia="仿宋_GB2312"/>
                <w:sz w:val="28"/>
              </w:rPr>
              <w:t>两阶段</w:t>
            </w:r>
            <w:r>
              <w:rPr>
                <w:rFonts w:ascii="仿宋_GB2312" w:hAnsi="仿宋_GB2312" w:cs="仿宋_GB2312" w:eastAsia="仿宋_GB2312"/>
                <w:sz w:val="28"/>
              </w:rPr>
              <w:t>初步设计、</w:t>
            </w:r>
            <w:r>
              <w:rPr>
                <w:rFonts w:ascii="仿宋_GB2312" w:hAnsi="仿宋_GB2312" w:cs="仿宋_GB2312" w:eastAsia="仿宋_GB2312"/>
                <w:sz w:val="28"/>
              </w:rPr>
              <w:t>两阶段</w:t>
            </w:r>
            <w:r>
              <w:rPr>
                <w:rFonts w:ascii="仿宋_GB2312" w:hAnsi="仿宋_GB2312" w:cs="仿宋_GB2312" w:eastAsia="仿宋_GB2312"/>
                <w:sz w:val="28"/>
              </w:rPr>
              <w:t>施工图设计</w:t>
            </w:r>
            <w:r>
              <w:rPr>
                <w:rFonts w:ascii="仿宋_GB2312" w:hAnsi="仿宋_GB2312" w:cs="仿宋_GB2312" w:eastAsia="仿宋_GB2312"/>
                <w:sz w:val="28"/>
              </w:rPr>
              <w:t>任务，设计深度及质量符合有关设计规范和施工规范的要求。</w:t>
            </w:r>
          </w:p>
          <w:p>
            <w:pPr>
              <w:pStyle w:val="null3"/>
              <w:ind w:firstLine="560"/>
              <w:jc w:val="both"/>
            </w:pPr>
            <w:r>
              <w:rPr>
                <w:rFonts w:ascii="仿宋_GB2312" w:hAnsi="仿宋_GB2312" w:cs="仿宋_GB2312" w:eastAsia="仿宋_GB2312"/>
                <w:sz w:val="28"/>
              </w:rPr>
              <w:t>2.2完成</w:t>
            </w:r>
            <w:r>
              <w:rPr>
                <w:rFonts w:ascii="仿宋_GB2312" w:hAnsi="仿宋_GB2312" w:cs="仿宋_GB2312" w:eastAsia="仿宋_GB2312"/>
                <w:sz w:val="28"/>
              </w:rPr>
              <w:t>两阶段</w:t>
            </w:r>
            <w:r>
              <w:rPr>
                <w:rFonts w:ascii="仿宋_GB2312" w:hAnsi="仿宋_GB2312" w:cs="仿宋_GB2312" w:eastAsia="仿宋_GB2312"/>
                <w:sz w:val="28"/>
              </w:rPr>
              <w:t>初设</w:t>
            </w:r>
            <w:r>
              <w:rPr>
                <w:rFonts w:ascii="仿宋_GB2312" w:hAnsi="仿宋_GB2312" w:cs="仿宋_GB2312" w:eastAsia="仿宋_GB2312"/>
                <w:sz w:val="28"/>
              </w:rPr>
              <w:t>概算</w:t>
            </w:r>
            <w:r>
              <w:rPr>
                <w:rFonts w:ascii="仿宋_GB2312" w:hAnsi="仿宋_GB2312" w:cs="仿宋_GB2312" w:eastAsia="仿宋_GB2312"/>
                <w:sz w:val="28"/>
              </w:rPr>
              <w:t>、</w:t>
            </w:r>
            <w:r>
              <w:rPr>
                <w:rFonts w:ascii="仿宋_GB2312" w:hAnsi="仿宋_GB2312" w:cs="仿宋_GB2312" w:eastAsia="仿宋_GB2312"/>
                <w:sz w:val="28"/>
              </w:rPr>
              <w:t>两阶段</w:t>
            </w:r>
            <w:r>
              <w:rPr>
                <w:rFonts w:ascii="仿宋_GB2312" w:hAnsi="仿宋_GB2312" w:cs="仿宋_GB2312" w:eastAsia="仿宋_GB2312"/>
                <w:sz w:val="28"/>
              </w:rPr>
              <w:t>施工图预算编制任务，并符合工程概预算编制管理办法和国家相关政策规定。</w:t>
            </w:r>
          </w:p>
          <w:p>
            <w:pPr>
              <w:pStyle w:val="null3"/>
              <w:ind w:firstLine="560"/>
              <w:jc w:val="both"/>
            </w:pPr>
            <w:r>
              <w:rPr>
                <w:rFonts w:ascii="仿宋_GB2312" w:hAnsi="仿宋_GB2312" w:cs="仿宋_GB2312" w:eastAsia="仿宋_GB2312"/>
                <w:sz w:val="28"/>
              </w:rPr>
              <w:t>二、技术要求</w:t>
            </w:r>
          </w:p>
          <w:p>
            <w:pPr>
              <w:pStyle w:val="null3"/>
              <w:ind w:firstLine="560"/>
              <w:jc w:val="both"/>
            </w:pPr>
            <w:r>
              <w:rPr>
                <w:rFonts w:ascii="仿宋_GB2312" w:hAnsi="仿宋_GB2312" w:cs="仿宋_GB2312" w:eastAsia="仿宋_GB2312"/>
                <w:sz w:val="28"/>
              </w:rPr>
              <w:t>1、设计理念先进；</w:t>
            </w:r>
          </w:p>
          <w:p>
            <w:pPr>
              <w:pStyle w:val="null3"/>
              <w:ind w:firstLine="560"/>
              <w:jc w:val="both"/>
            </w:pPr>
            <w:r>
              <w:rPr>
                <w:rFonts w:ascii="仿宋_GB2312" w:hAnsi="仿宋_GB2312" w:cs="仿宋_GB2312" w:eastAsia="仿宋_GB2312"/>
                <w:sz w:val="28"/>
              </w:rPr>
              <w:t>2、设计方案应充分与现场实际情况相符合，方案科学、合理；</w:t>
            </w:r>
          </w:p>
          <w:p>
            <w:pPr>
              <w:pStyle w:val="null3"/>
              <w:ind w:firstLine="560"/>
              <w:jc w:val="both"/>
            </w:pPr>
            <w:r>
              <w:rPr>
                <w:rFonts w:ascii="仿宋_GB2312" w:hAnsi="仿宋_GB2312" w:cs="仿宋_GB2312" w:eastAsia="仿宋_GB2312"/>
                <w:sz w:val="28"/>
              </w:rPr>
              <w:t>3、各阶段服务成果应满足国家及地方现行规范规定及采购人要求。</w:t>
            </w:r>
          </w:p>
          <w:p>
            <w:pPr>
              <w:pStyle w:val="null3"/>
              <w:ind w:firstLine="560"/>
              <w:jc w:val="both"/>
            </w:pPr>
            <w:r>
              <w:rPr>
                <w:rFonts w:ascii="仿宋_GB2312" w:hAnsi="仿宋_GB2312" w:cs="仿宋_GB2312" w:eastAsia="仿宋_GB2312"/>
                <w:sz w:val="28"/>
              </w:rPr>
              <w:t>4、适用规范标准</w:t>
            </w:r>
          </w:p>
          <w:p>
            <w:pPr>
              <w:pStyle w:val="null3"/>
              <w:ind w:firstLine="560"/>
              <w:jc w:val="both"/>
            </w:pPr>
            <w:r>
              <w:rPr>
                <w:rFonts w:ascii="仿宋_GB2312" w:hAnsi="仿宋_GB2312" w:cs="仿宋_GB2312" w:eastAsia="仿宋_GB2312"/>
                <w:sz w:val="28"/>
              </w:rPr>
              <w:t>4.1设计过程和成果必须符合国家有关工程建设标准强制性条文和现行的标准、规范、规程、定额、办法、示例以及招标项目所在地关于设计方面的文件、规定。</w:t>
            </w:r>
          </w:p>
          <w:p>
            <w:pPr>
              <w:pStyle w:val="null3"/>
              <w:ind w:firstLine="560"/>
              <w:jc w:val="both"/>
            </w:pPr>
            <w:r>
              <w:rPr>
                <w:rFonts w:ascii="仿宋_GB2312" w:hAnsi="仿宋_GB2312" w:cs="仿宋_GB2312" w:eastAsia="仿宋_GB2312"/>
                <w:sz w:val="28"/>
              </w:rPr>
              <w:t>4.2供应商在设计工作中使用标准、规范以外的技术标准、规范时，应征得采购人的同意。</w:t>
            </w:r>
          </w:p>
          <w:p>
            <w:pPr>
              <w:pStyle w:val="null3"/>
              <w:ind w:firstLine="560"/>
              <w:jc w:val="both"/>
            </w:pPr>
            <w:r>
              <w:rPr>
                <w:rFonts w:ascii="仿宋_GB2312" w:hAnsi="仿宋_GB2312" w:cs="仿宋_GB2312" w:eastAsia="仿宋_GB2312"/>
                <w:sz w:val="28"/>
              </w:rPr>
              <w:t>4.3设计过程中，如果国家或有关部门颁布了新的技术标准或规范，则投标供应商应采用新的标准或规范进行设计。</w:t>
            </w:r>
          </w:p>
          <w:p>
            <w:pPr>
              <w:pStyle w:val="null3"/>
              <w:ind w:firstLine="560"/>
              <w:jc w:val="both"/>
            </w:pPr>
            <w:r>
              <w:rPr>
                <w:rFonts w:ascii="仿宋_GB2312" w:hAnsi="仿宋_GB2312" w:cs="仿宋_GB2312" w:eastAsia="仿宋_GB2312"/>
                <w:sz w:val="28"/>
              </w:rPr>
              <w:t>4.4供应商在设计工作中必须使用中华人民共和国《工程建设标准强制性条文》。</w:t>
            </w:r>
          </w:p>
          <w:p>
            <w:pPr>
              <w:pStyle w:val="null3"/>
              <w:ind w:firstLine="560"/>
              <w:jc w:val="both"/>
            </w:pPr>
            <w:r>
              <w:rPr>
                <w:rFonts w:ascii="仿宋_GB2312" w:hAnsi="仿宋_GB2312" w:cs="仿宋_GB2312" w:eastAsia="仿宋_GB2312"/>
                <w:sz w:val="28"/>
              </w:rPr>
              <w:t>三、成果交付要求</w:t>
            </w:r>
          </w:p>
          <w:p>
            <w:pPr>
              <w:pStyle w:val="null3"/>
              <w:ind w:firstLine="560"/>
              <w:jc w:val="both"/>
            </w:pPr>
            <w:r>
              <w:rPr>
                <w:rFonts w:ascii="仿宋_GB2312" w:hAnsi="仿宋_GB2312" w:cs="仿宋_GB2312" w:eastAsia="仿宋_GB2312"/>
                <w:sz w:val="28"/>
              </w:rPr>
              <w:t>1、设计服务：供应商必须自行完成本项目所需的设计服务，严禁转包、分包，拟派设计负责人应在服务周期内保持稳定。</w:t>
            </w:r>
          </w:p>
          <w:p>
            <w:pPr>
              <w:pStyle w:val="null3"/>
              <w:ind w:firstLine="560"/>
              <w:jc w:val="both"/>
            </w:pPr>
            <w:r>
              <w:rPr>
                <w:rFonts w:ascii="仿宋_GB2312" w:hAnsi="仿宋_GB2312" w:cs="仿宋_GB2312" w:eastAsia="仿宋_GB2312"/>
                <w:sz w:val="28"/>
              </w:rPr>
              <w:t>2、总体规划设计方案：设计单位必须清楚了解设计范围及采购方功能定位、进度及造价控制等方面的相关要求；设计单位在概念设计阶段需对设计理念、构思、表现手法特点进行阐述；对空间功能、人流组织、平面布局等提供分析图、效果图；设计单位就概念设计方案提供相应的设计估算。</w:t>
            </w:r>
          </w:p>
          <w:p>
            <w:pPr>
              <w:pStyle w:val="null3"/>
              <w:ind w:firstLine="560"/>
              <w:jc w:val="both"/>
            </w:pPr>
            <w:r>
              <w:rPr>
                <w:rFonts w:ascii="仿宋_GB2312" w:hAnsi="仿宋_GB2312" w:cs="仿宋_GB2312" w:eastAsia="仿宋_GB2312"/>
                <w:sz w:val="28"/>
              </w:rPr>
              <w:t>3、总体规划设计要求：本项目应以节约、经济适用、安全环保为设计原则。</w:t>
            </w:r>
          </w:p>
          <w:p>
            <w:pPr>
              <w:pStyle w:val="null3"/>
              <w:ind w:firstLine="560"/>
              <w:jc w:val="both"/>
            </w:pPr>
            <w:r>
              <w:rPr>
                <w:rFonts w:ascii="仿宋_GB2312" w:hAnsi="仿宋_GB2312" w:cs="仿宋_GB2312" w:eastAsia="仿宋_GB2312"/>
                <w:sz w:val="28"/>
              </w:rPr>
              <w:t>4、图纸设计比例和设计图幅必须符合正常需求的同时，更便于使用。</w:t>
            </w:r>
          </w:p>
          <w:p>
            <w:pPr>
              <w:pStyle w:val="null3"/>
              <w:ind w:firstLine="560"/>
              <w:jc w:val="both"/>
            </w:pPr>
            <w:r>
              <w:rPr>
                <w:rFonts w:ascii="仿宋_GB2312" w:hAnsi="仿宋_GB2312" w:cs="仿宋_GB2312" w:eastAsia="仿宋_GB2312"/>
                <w:sz w:val="28"/>
              </w:rPr>
              <w:t>三、其他要求</w:t>
            </w:r>
          </w:p>
          <w:p>
            <w:pPr>
              <w:pStyle w:val="null3"/>
              <w:ind w:firstLine="560"/>
              <w:jc w:val="both"/>
            </w:pPr>
            <w:r>
              <w:rPr>
                <w:rFonts w:ascii="仿宋_GB2312" w:hAnsi="仿宋_GB2312" w:cs="仿宋_GB2312" w:eastAsia="仿宋_GB2312"/>
                <w:sz w:val="28"/>
              </w:rPr>
              <w:t>1、完成时间：合同签订后</w:t>
            </w:r>
            <w:r>
              <w:rPr>
                <w:rFonts w:ascii="仿宋_GB2312" w:hAnsi="仿宋_GB2312" w:cs="仿宋_GB2312" w:eastAsia="仿宋_GB2312"/>
                <w:sz w:val="28"/>
              </w:rPr>
              <w:t>30</w:t>
            </w:r>
            <w:r>
              <w:rPr>
                <w:rFonts w:ascii="仿宋_GB2312" w:hAnsi="仿宋_GB2312" w:cs="仿宋_GB2312" w:eastAsia="仿宋_GB2312"/>
                <w:sz w:val="28"/>
              </w:rPr>
              <w:t>日内。</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2、违约责任</w:t>
            </w:r>
          </w:p>
          <w:p>
            <w:pPr>
              <w:pStyle w:val="null3"/>
              <w:ind w:firstLine="560"/>
              <w:jc w:val="both"/>
            </w:pPr>
            <w:r>
              <w:rPr>
                <w:rFonts w:ascii="仿宋_GB2312" w:hAnsi="仿宋_GB2312" w:cs="仿宋_GB2312" w:eastAsia="仿宋_GB2312"/>
                <w:sz w:val="28"/>
              </w:rPr>
              <w:t>2.1、依据《中华人民共和国民法典》、《中华人民共和国政府采购法》的相关条款和本合同约定的相关条款执行。</w:t>
            </w:r>
          </w:p>
          <w:p>
            <w:pPr>
              <w:pStyle w:val="null3"/>
              <w:ind w:firstLine="560"/>
              <w:jc w:val="both"/>
            </w:pPr>
            <w:r>
              <w:rPr>
                <w:rFonts w:ascii="仿宋_GB2312" w:hAnsi="仿宋_GB2312" w:cs="仿宋_GB2312" w:eastAsia="仿宋_GB2312"/>
                <w:sz w:val="28"/>
              </w:rPr>
              <w:t>2.2、成交人未按合同要求履行，不符合采购技术要求，成交人必须无条件更换人员或设备，提高技术，完善质量，否则，采购人有权终止合同，并对成交人的违约行为进行追究并依法向成交人进行经济索赔。</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成果交付期限：30天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质里达到国家行业合格标准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成果文件交付合格后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必须在进账单或电汇单注明项目名称。2、采用银行保函形式提交投标保证金的，应用基本账户保函的银行或市级银行。注:1.须将原件于投标截止时间前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供应商须同时具备公路行业(公路)专业、建筑行业（建筑工程）、工程勘察乙级及以上。拟派设计负责人具有中级及以上技术职称，并在本项目工程设计人员配备方面具有相应的设计能力和实践经验。</w:t>
            </w:r>
          </w:p>
        </w:tc>
        <w:tc>
          <w:tcPr>
            <w:tcW w:type="dxa" w:w="3322"/>
          </w:tcPr>
          <w:p>
            <w:pPr>
              <w:pStyle w:val="null3"/>
            </w:pPr>
            <w:r>
              <w:rPr>
                <w:rFonts w:ascii="仿宋_GB2312" w:hAnsi="仿宋_GB2312" w:cs="仿宋_GB2312" w:eastAsia="仿宋_GB2312"/>
              </w:rPr>
              <w:t>供应商须同时具备公路行业(公路)专业、建筑行业（建筑工程）、工程勘察乙级及以上。拟派设计负责人具有中级及以上技术职称，并在本项目工程设计人员配备方面具有相应的设计能力和实践经验。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保证金.pdf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对本项目理解及分析（10分） 内容完整、描述详尽、可实施、且有针对性得10分；内容完整、可实施得7分；方案基本完整得3分；未提供不得分。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1.总体设计方案（5分） 内容完整、可实施、且有针对性得5分；内容完整、描述详尽、可实施得3分；方案基本完整得1分；未提供不得分。 2.对本项目设计方案技术可行性分析（5分） 内容完整、描述详尽、可实施、且有针对性得5分；内容完整、可实施得3分；方案基本完整得1分；未提供不得分。 3.对本项目设计工作内容概述（5分）。 内容完整、描述详尽、可实施、且有针对性得5分；内容完整、可实施得3分；方案基本完整得1分；未提供不得分。 4.现场勘察方案（5分） 内容完整、可实施、且有针对性得5分；内容完整、描述详尽、可实施得3分；方案基本完整得1分；未提供不得分。 5.技术规范规定符合性（5分） 内容完整、可实施、且有针对性得5分；内容完整、描述详尽、可实施得3分；方案基本完整得1分；未提供不得分。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1.项目实施重点、难点及对策措施（5分） 内容完整、可实施、且有针对性得5分；内容完整、可实施得3分；方案基本完整得1分；未提供不得分。 2.关键过程分析（5分） 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1.项目工作进度计划安排（5分） 内容完整、条理清晰、且有针对性得5分；内容完整、可实施得3分；内容基本完整1分；未提供不得分。 2.项目进度保证措施（5分）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1.项目质量目标（5分） 内容完整、条理清晰、且有针对性得5分；内容完整、可实施得3分；内容基本完整1分；未提供不得分。 2.设计阶段控制措施（5分）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针对本项目后期服务配合、过程资料管理有具体的服务承诺（9分） 内容完整、条理清晰、可实施得9分；内容完整、可实施得5分；内容基本完整2分；未提供不得分。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针对本项目的合理化建议（5分） 内容完整、条理清晰、可实施得5分；内容完整、可实施得3分；内容基本完整1分；未提供不得分。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本项目的项目负责人、其他人员组织架构情况（5分） 人员专业性强、经验丰富、满足本项目需求得5分；专业性强、满足本项目需求得3分；满足本项目需求得1分；未提供不得分。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供应商提供2022年1月1日至磋商截止日止类似项目业绩，每提供一个得3分，最高得6分；业绩资料提供复印件加盖公章（资料以合同或中标通知书为准）。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供应商认为需要说明的其他内容.docx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详见附件：供应商认为需要说明的其他内容.docx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