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版本号：SXDY-2025-283.1B120251014001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略阳县人力资源大厦中央空调采购拆除及安装项目(二次)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SXDY-2025-283.1B1</w:t>
      </w:r>
      <w:r>
        <w:br/>
      </w:r>
      <w:r>
        <w:br/>
      </w:r>
      <w:r>
        <w:br/>
      </w:r>
    </w:p>
    <w:p>
      <w:pPr>
        <w:pStyle w:val="null3"/>
        <w:jc w:val="center"/>
        <w:outlineLvl w:val="2"/>
      </w:pPr>
      <w:r>
        <w:rPr>
          <w:rFonts w:ascii="仿宋_GB2312" w:hAnsi="仿宋_GB2312" w:cs="仿宋_GB2312" w:eastAsia="仿宋_GB2312"/>
          <w:sz w:val="28"/>
          <w:b/>
        </w:rPr>
        <w:t>略阳县人力资源和社会保障局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略阳县人力资源和社会保障局</w:t>
      </w:r>
      <w:r>
        <w:rPr>
          <w:rFonts w:ascii="仿宋_GB2312" w:hAnsi="仿宋_GB2312" w:cs="仿宋_GB2312" w:eastAsia="仿宋_GB2312"/>
        </w:rPr>
        <w:t>委托，拟对</w:t>
      </w:r>
      <w:r>
        <w:rPr>
          <w:rFonts w:ascii="仿宋_GB2312" w:hAnsi="仿宋_GB2312" w:cs="仿宋_GB2312" w:eastAsia="仿宋_GB2312"/>
        </w:rPr>
        <w:t>略阳县人力资源大厦中央空调采购拆除及安装项目(二次)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SXDY-2025-283.1B1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略阳县人力资源大厦中央空调采购拆除及安装项目(二次)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现需采购4台风冷热泵模块机组及部分无缝钢管、阀门、静音水泵等材料，具体采购内容以谈判文件第三章3.3技术要求采购内容技术参数为准。验收需符合国家标准，符合国家法律法规及行业的规范要求。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授权书及被授权人身份证（法定代表人或单位负责人直接参加投标除外，但须出示法定代表人或单位负责人身份证及营业执照复印件）：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3、企业资质要求：供应商须具备机电工程施工总承包三级及以上资质，并具有有效的安全生产许可证;</w:t>
      </w:r>
    </w:p>
    <w:p>
      <w:pPr>
        <w:pStyle w:val="null3"/>
      </w:pPr>
      <w:r>
        <w:rPr>
          <w:rFonts w:ascii="仿宋_GB2312" w:hAnsi="仿宋_GB2312" w:cs="仿宋_GB2312" w:eastAsia="仿宋_GB2312"/>
        </w:rPr>
        <w:t>4、项目经理资质要求：拟派项目经理须具备机电工程二级及以上注册建造师执业资格，具备有效的安全生产考核合格证书，且无在建项目;</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提供《汉中市政府采购供应商资格承诺函》；</w:t>
      </w:r>
    </w:p>
    <w:p>
      <w:pPr>
        <w:pStyle w:val="null3"/>
      </w:pPr>
      <w:r>
        <w:rPr>
          <w:rFonts w:ascii="仿宋_GB2312" w:hAnsi="仿宋_GB2312" w:cs="仿宋_GB2312" w:eastAsia="仿宋_GB2312"/>
        </w:rPr>
        <w:t>6、非联合体声明：本项目不接受联合体投标，需提供非联合体书面声明；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略阳县水灵路人力资源大厦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0916-4822410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汉中市汉台区前进路和西环路十字天汉龙城三楼301室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0916-8819887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0916-4811255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略阳县人力资源和社会保障局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略阳县人力资源和社会保障局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陕西大用项目管理有限公司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联系人：梁峥</w:t>
      </w:r>
    </w:p>
    <w:p>
      <w:pPr>
        <w:pStyle w:val="null3"/>
      </w:pPr>
      <w:r>
        <w:rPr>
          <w:rFonts w:ascii="仿宋_GB2312" w:hAnsi="仿宋_GB2312" w:cs="仿宋_GB2312" w:eastAsia="仿宋_GB2312"/>
        </w:rPr>
        <w:t>联系电话：0916-8819887</w:t>
      </w:r>
    </w:p>
    <w:p>
      <w:pPr>
        <w:pStyle w:val="null3"/>
      </w:pPr>
      <w:r>
        <w:rPr>
          <w:rFonts w:ascii="仿宋_GB2312" w:hAnsi="仿宋_GB2312" w:cs="仿宋_GB2312" w:eastAsia="仿宋_GB2312"/>
        </w:rPr>
        <w:t>地址：汉中市汉台区前进路和西环路十字天汉龙城三楼301室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现需采购4台风冷热泵模块机组及部分无缝钢管、阀门、静音水泵等材料，具体采购内容以谈判文件第三章3.3技术要求采购内容技术参数为准。验收需符合国家标准，符合国家法律法规及行业的规范要求。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491,900.00</w:t>
      </w:r>
    </w:p>
    <w:p>
      <w:pPr>
        <w:pStyle w:val="null3"/>
      </w:pPr>
      <w:r>
        <w:rPr>
          <w:rFonts w:ascii="仿宋_GB2312" w:hAnsi="仿宋_GB2312" w:cs="仿宋_GB2312" w:eastAsia="仿宋_GB2312"/>
        </w:rPr>
        <w:t>采购包最高限价（元）: 491,900.00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491900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491,900.00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标的名称：491900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drawing>
                <wp:inline distT="0" distR="0" distB="0" distL="0">
                  <wp:extent cx="1621155" cy="458170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4581702"/>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合同签订后5天完成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根据谈判文件要求及合同约定，提交的所有货物，符合国家标准及相关法律法规。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向采购人提交质保证明文件，质保期：3年，若出现售后品质问题，30分钟内响应，3个小时内解决故障。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行并验收合格之日起：1、提供免费质保3年；2、售后服务：质保期内，非人为原因出现故障问题，免费进行维修，不收取任何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甲、乙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供应商在缴纳保证金时应注明项目名称，供应商应在谈判响应文件递交截止时间前在采购代理机构换取收款收据，换取收据时须经办人携带公司介绍信、银行开户许可证以及转账凭证或保函在陕西大用项目管理有限公司汉中分公司进行换取收据，收据扫描件需附在谈判响应文件中。2、因本项目为不见面开标，供应商无需在开标现场提交纸质响应文件，待采购结果发布后3个工作日内向代理机构提交纸质版响应文件以便于存档，响应文件包括:正本一份、副本二份，电子版U盘二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响应文件签署人身份证明.pdf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供应商须具备机电工程施工总承包三级及以上资质，并具有有效的安全生产许可证;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拟派项目经理须具备机电工程二级及以上注册建造师执业资格，具备有效的安全生产考核合格证书，且无在建项目;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响应文件有效期符合谈判文件要求</w:t>
            </w:r>
          </w:p>
        </w:tc>
        <w:tc>
          <w:tcPr>
            <w:tcW w:type="dxa" w:w="1661"/>
          </w:tcPr>
          <w:p>
            <w:pPr>
              <w:pStyle w:val="null3"/>
            </w:pPr>
            <w:r>
              <w:rPr>
                <w:rFonts w:ascii="仿宋_GB2312" w:hAnsi="仿宋_GB2312" w:cs="仿宋_GB2312" w:eastAsia="仿宋_GB2312"/>
              </w:rPr>
              <w:t>响应文件签署人身份证明.pdf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中小企业声明函 响应文件签署人身份证明.pdf 商务应答表 保证金.docx 供应商应提交的相关资格证明材料 项目整体实施方案.docx 报价表 汉中市政府采购供应商资格承诺函.docx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中小企业声明函 响应文件签署人身份证明.pdf 商务应答表 保证金.docx 供应商应提交的相关资格证明材料 项目整体实施方案.docx 报价表 汉中市政府采购供应商资格承诺函.docx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完全理解并响应采购文件技术要求全部内容，且未含有采购人不能接受的附加条件的。</w:t>
            </w:r>
          </w:p>
        </w:tc>
        <w:tc>
          <w:tcPr>
            <w:tcW w:type="dxa" w:w="1661"/>
          </w:tcPr>
          <w:p>
            <w:pPr>
              <w:pStyle w:val="null3"/>
            </w:pPr>
            <w:r>
              <w:rPr>
                <w:rFonts w:ascii="仿宋_GB2312" w:hAnsi="仿宋_GB2312" w:cs="仿宋_GB2312" w:eastAsia="仿宋_GB2312"/>
              </w:rPr>
              <w:t>响应文件封面 产品技术参数表 项目整体实施方案.docx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详见附件：响应文件签署人身份证明.pdf</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详见附件：项目整体实施方案.docx</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