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22D86">
      <w:pPr>
        <w:spacing w:before="0" w:after="0" w:line="360" w:lineRule="auto"/>
        <w:jc w:val="center"/>
        <w:outlineLvl w:val="0"/>
        <w:rPr>
          <w:rFonts w:hint="eastAsia" w:asciiTheme="majorEastAsia" w:hAnsiTheme="majorEastAsia" w:eastAsiaTheme="majorEastAsia" w:cstheme="majorEastAsia"/>
          <w:b/>
          <w:bCs/>
          <w:sz w:val="32"/>
          <w:szCs w:val="40"/>
          <w:highlight w:val="none"/>
          <w:lang w:val="en-US" w:eastAsia="zh-CN"/>
        </w:rPr>
      </w:pPr>
      <w:r>
        <w:rPr>
          <w:rFonts w:hint="eastAsia" w:asciiTheme="majorEastAsia" w:hAnsiTheme="majorEastAsia" w:eastAsiaTheme="majorEastAsia" w:cstheme="majorEastAsia"/>
          <w:b/>
          <w:bCs/>
          <w:sz w:val="32"/>
          <w:szCs w:val="40"/>
          <w:highlight w:val="none"/>
          <w:lang w:val="en-US" w:eastAsia="zh-CN"/>
        </w:rPr>
        <w:t>拟签订的合同文本</w:t>
      </w:r>
    </w:p>
    <w:p w14:paraId="6F4C86C0">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Theme="majorEastAsia" w:hAnsiTheme="majorEastAsia" w:eastAsiaTheme="majorEastAsia" w:cstheme="majorEastAsia"/>
          <w:color w:val="000000"/>
        </w:rPr>
      </w:pPr>
    </w:p>
    <w:p w14:paraId="7CBD2F40">
      <w:pPr>
        <w:spacing w:line="360" w:lineRule="auto"/>
        <w:ind w:firstLine="482" w:firstLineChars="200"/>
        <w:outlineLvl w:val="9"/>
        <w:rPr>
          <w:rFonts w:hint="eastAsia" w:ascii="宋体" w:hAnsi="宋体" w:eastAsia="宋体" w:cs="宋体"/>
          <w:bCs/>
          <w:sz w:val="24"/>
          <w:szCs w:val="24"/>
          <w:highlight w:val="none"/>
        </w:rPr>
      </w:pP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合同签订时</w:t>
      </w:r>
      <w:r>
        <w:rPr>
          <w:rFonts w:hint="eastAsia" w:ascii="宋体" w:hAnsi="宋体" w:cs="宋体"/>
          <w:b/>
          <w:sz w:val="24"/>
          <w:szCs w:val="24"/>
          <w:highlight w:val="none"/>
          <w:lang w:val="en-US" w:eastAsia="zh-CN"/>
        </w:rPr>
        <w:t>采购人</w:t>
      </w:r>
      <w:r>
        <w:rPr>
          <w:rFonts w:hint="eastAsia" w:ascii="宋体" w:hAnsi="宋体" w:eastAsia="宋体" w:cs="宋体"/>
          <w:b/>
          <w:sz w:val="24"/>
          <w:szCs w:val="24"/>
          <w:highlight w:val="none"/>
          <w:lang w:val="en-US" w:eastAsia="zh-CN"/>
        </w:rPr>
        <w:t>有权根据</w:t>
      </w:r>
      <w:r>
        <w:rPr>
          <w:rFonts w:hint="eastAsia" w:ascii="宋体" w:hAnsi="宋体" w:cs="宋体"/>
          <w:b/>
          <w:sz w:val="24"/>
          <w:szCs w:val="24"/>
          <w:highlight w:val="none"/>
          <w:lang w:val="en-US" w:eastAsia="zh-CN"/>
        </w:rPr>
        <w:t>供应商响应文件</w:t>
      </w:r>
      <w:r>
        <w:rPr>
          <w:rFonts w:hint="eastAsia" w:ascii="宋体" w:hAnsi="宋体" w:eastAsia="宋体" w:cs="宋体"/>
          <w:b/>
          <w:sz w:val="24"/>
          <w:szCs w:val="24"/>
          <w:highlight w:val="none"/>
          <w:lang w:val="en-US" w:eastAsia="zh-CN"/>
        </w:rPr>
        <w:t>中的内容及承诺对合同内容进行补充和完善</w:t>
      </w:r>
      <w:r>
        <w:rPr>
          <w:rFonts w:hint="eastAsia" w:ascii="宋体" w:hAnsi="宋体" w:eastAsia="宋体" w:cs="宋体"/>
          <w:b/>
          <w:sz w:val="24"/>
          <w:szCs w:val="24"/>
          <w:highlight w:val="none"/>
        </w:rPr>
        <w:t>）</w:t>
      </w:r>
    </w:p>
    <w:p w14:paraId="2A64F7BB">
      <w:pPr>
        <w:pStyle w:val="3"/>
        <w:rPr>
          <w:rFonts w:hint="eastAsia"/>
          <w:highlight w:val="none"/>
        </w:rPr>
      </w:pPr>
    </w:p>
    <w:p w14:paraId="323BB8B5">
      <w:pPr>
        <w:pStyle w:val="4"/>
      </w:pPr>
    </w:p>
    <w:p w14:paraId="3418B19C">
      <w:pPr>
        <w:pStyle w:val="3"/>
        <w:spacing w:line="600" w:lineRule="auto"/>
        <w:jc w:val="center"/>
        <w:rPr>
          <w:rFonts w:hint="eastAsia" w:ascii="宋体" w:hAnsi="宋体" w:cs="宋体"/>
          <w:b/>
          <w:bCs/>
          <w:sz w:val="48"/>
          <w:szCs w:val="56"/>
          <w:highlight w:val="none"/>
          <w:lang w:eastAsia="zh-CN"/>
        </w:rPr>
      </w:pPr>
      <w:r>
        <w:rPr>
          <w:rFonts w:hint="eastAsia" w:ascii="宋体" w:hAnsi="宋体" w:cs="宋体"/>
          <w:b/>
          <w:bCs/>
          <w:sz w:val="48"/>
          <w:szCs w:val="56"/>
          <w:highlight w:val="none"/>
          <w:lang w:eastAsia="zh-CN"/>
        </w:rPr>
        <w:t>2025年略阳县五龙洞镇</w:t>
      </w:r>
    </w:p>
    <w:p w14:paraId="20540DCD">
      <w:pPr>
        <w:pStyle w:val="3"/>
        <w:spacing w:line="600" w:lineRule="auto"/>
        <w:jc w:val="center"/>
        <w:rPr>
          <w:rFonts w:hint="eastAsia" w:eastAsia="宋体"/>
          <w:highlight w:val="none"/>
          <w:lang w:eastAsia="zh-CN"/>
        </w:rPr>
      </w:pPr>
      <w:r>
        <w:rPr>
          <w:rFonts w:hint="eastAsia" w:ascii="宋体" w:hAnsi="宋体" w:cs="宋体"/>
          <w:b/>
          <w:bCs/>
          <w:sz w:val="48"/>
          <w:szCs w:val="56"/>
          <w:highlight w:val="none"/>
          <w:lang w:eastAsia="zh-CN"/>
        </w:rPr>
        <w:t>金池院村食用菌产业建设项目</w:t>
      </w:r>
    </w:p>
    <w:p w14:paraId="34F61E82">
      <w:pPr>
        <w:spacing w:line="360" w:lineRule="auto"/>
        <w:rPr>
          <w:highlight w:val="none"/>
        </w:rPr>
      </w:pPr>
    </w:p>
    <w:p w14:paraId="7D4A039C">
      <w:pPr>
        <w:pStyle w:val="3"/>
        <w:spacing w:line="360" w:lineRule="auto"/>
        <w:rPr>
          <w:highlight w:val="none"/>
        </w:rPr>
      </w:pPr>
    </w:p>
    <w:p w14:paraId="333276B6"/>
    <w:p w14:paraId="0A74A04A">
      <w:pPr>
        <w:pStyle w:val="4"/>
        <w:rPr>
          <w:highlight w:val="none"/>
        </w:rPr>
      </w:pPr>
    </w:p>
    <w:p w14:paraId="7041D784">
      <w:pPr>
        <w:pStyle w:val="4"/>
        <w:rPr>
          <w:highlight w:val="none"/>
        </w:rPr>
      </w:pPr>
    </w:p>
    <w:p w14:paraId="355BE5DC">
      <w:pPr>
        <w:spacing w:line="360" w:lineRule="auto"/>
        <w:rPr>
          <w:highlight w:val="none"/>
        </w:rPr>
      </w:pPr>
    </w:p>
    <w:p w14:paraId="25C9EA7E">
      <w:pPr>
        <w:spacing w:line="360" w:lineRule="auto"/>
        <w:jc w:val="center"/>
        <w:rPr>
          <w:rFonts w:hint="eastAsia" w:ascii="宋体" w:hAnsi="宋体" w:eastAsia="宋体" w:cs="宋体"/>
          <w:b/>
          <w:bCs/>
          <w:kern w:val="2"/>
          <w:sz w:val="48"/>
          <w:szCs w:val="56"/>
          <w:highlight w:val="none"/>
          <w:lang w:val="en-US" w:eastAsia="zh-CN" w:bidi="ar-SA"/>
        </w:rPr>
      </w:pPr>
      <w:r>
        <w:rPr>
          <w:rFonts w:hint="eastAsia" w:ascii="宋体" w:hAnsi="宋体" w:eastAsia="宋体" w:cs="宋体"/>
          <w:b/>
          <w:bCs/>
          <w:kern w:val="2"/>
          <w:sz w:val="60"/>
          <w:szCs w:val="96"/>
          <w:highlight w:val="none"/>
          <w:lang w:val="en-US" w:eastAsia="zh-CN" w:bidi="ar-SA"/>
        </w:rPr>
        <w:t>施工合同</w:t>
      </w:r>
    </w:p>
    <w:p w14:paraId="5B862DD1">
      <w:pPr>
        <w:spacing w:line="360" w:lineRule="auto"/>
        <w:jc w:val="left"/>
        <w:rPr>
          <w:highlight w:val="none"/>
        </w:rPr>
      </w:pPr>
    </w:p>
    <w:p w14:paraId="3E7CCA13">
      <w:pPr>
        <w:pStyle w:val="3"/>
        <w:rPr>
          <w:highlight w:val="none"/>
        </w:rPr>
      </w:pPr>
    </w:p>
    <w:p w14:paraId="18D9B3B8">
      <w:pPr>
        <w:rPr>
          <w:highlight w:val="none"/>
        </w:rPr>
      </w:pPr>
    </w:p>
    <w:p w14:paraId="1CDE7AB3">
      <w:pPr>
        <w:pStyle w:val="4"/>
        <w:ind w:left="0" w:leftChars="0" w:firstLine="0" w:firstLineChars="0"/>
        <w:rPr>
          <w:highlight w:val="none"/>
        </w:rPr>
      </w:pPr>
    </w:p>
    <w:p w14:paraId="6F4EA08C">
      <w:pPr>
        <w:rPr>
          <w:highlight w:val="none"/>
        </w:rPr>
      </w:pPr>
    </w:p>
    <w:p w14:paraId="645EEE87">
      <w:pPr>
        <w:pStyle w:val="4"/>
      </w:pPr>
    </w:p>
    <w:p w14:paraId="37793242">
      <w:pPr>
        <w:rPr>
          <w:highlight w:val="none"/>
        </w:rPr>
      </w:pPr>
    </w:p>
    <w:p w14:paraId="0701B23E">
      <w:pPr>
        <w:rPr>
          <w:highlight w:val="none"/>
        </w:rPr>
      </w:pPr>
    </w:p>
    <w:p w14:paraId="3EE70F2E">
      <w:pPr>
        <w:spacing w:line="600" w:lineRule="auto"/>
        <w:ind w:firstLine="1807" w:firstLineChars="500"/>
        <w:jc w:val="both"/>
        <w:rPr>
          <w:rFonts w:hint="eastAsia" w:ascii="黑体" w:hAnsi="黑体" w:eastAsia="黑体" w:cs="Times New Roman"/>
          <w:sz w:val="36"/>
          <w:szCs w:val="36"/>
          <w:highlight w:val="none"/>
          <w:u w:val="single"/>
          <w:lang w:val="en-US" w:eastAsia="zh-CN"/>
        </w:rPr>
      </w:pPr>
      <w:r>
        <w:rPr>
          <w:rFonts w:hint="eastAsia" w:ascii="宋体" w:hAnsi="宋体" w:eastAsia="宋体" w:cs="宋体"/>
          <w:b/>
          <w:bCs/>
          <w:kern w:val="2"/>
          <w:sz w:val="36"/>
          <w:szCs w:val="44"/>
          <w:highlight w:val="none"/>
          <w:lang w:val="en-US" w:eastAsia="zh-CN" w:bidi="ar-SA"/>
        </w:rPr>
        <w:t>甲方名称：</w:t>
      </w:r>
      <w:r>
        <w:rPr>
          <w:rFonts w:hint="eastAsia" w:ascii="黑体" w:hAnsi="黑体" w:eastAsia="黑体" w:cs="Times New Roman"/>
          <w:sz w:val="36"/>
          <w:szCs w:val="36"/>
          <w:highlight w:val="none"/>
          <w:u w:val="single"/>
          <w:lang w:val="en-US" w:eastAsia="zh-CN"/>
        </w:rPr>
        <w:t xml:space="preserve">                 </w:t>
      </w:r>
    </w:p>
    <w:p w14:paraId="17FDE783">
      <w:pPr>
        <w:spacing w:line="600" w:lineRule="auto"/>
        <w:ind w:firstLine="1807" w:firstLineChars="500"/>
        <w:jc w:val="both"/>
        <w:rPr>
          <w:rFonts w:hint="default" w:ascii="黑体" w:hAnsi="黑体" w:eastAsia="黑体" w:cs="Times New Roman"/>
          <w:sz w:val="36"/>
          <w:szCs w:val="36"/>
          <w:highlight w:val="none"/>
          <w:u w:val="single"/>
          <w:lang w:val="en-US" w:eastAsia="zh-CN"/>
        </w:rPr>
      </w:pPr>
      <w:r>
        <w:rPr>
          <w:rFonts w:hint="eastAsia" w:ascii="宋体" w:hAnsi="宋体" w:eastAsia="宋体" w:cs="宋体"/>
          <w:b/>
          <w:bCs/>
          <w:kern w:val="2"/>
          <w:sz w:val="36"/>
          <w:szCs w:val="44"/>
          <w:highlight w:val="none"/>
          <w:lang w:val="en-US" w:eastAsia="zh-CN" w:bidi="ar-SA"/>
        </w:rPr>
        <w:t>乙方名称：</w:t>
      </w:r>
      <w:r>
        <w:rPr>
          <w:rFonts w:hint="eastAsia" w:ascii="黑体" w:hAnsi="黑体" w:eastAsia="黑体" w:cs="Times New Roman"/>
          <w:sz w:val="36"/>
          <w:szCs w:val="36"/>
          <w:highlight w:val="none"/>
          <w:u w:val="single"/>
          <w:lang w:val="en-US" w:eastAsia="zh-CN"/>
        </w:rPr>
        <w:t xml:space="preserve">                 </w:t>
      </w:r>
    </w:p>
    <w:p w14:paraId="7CB9A2CA">
      <w:pPr>
        <w:spacing w:line="600" w:lineRule="auto"/>
        <w:jc w:val="center"/>
        <w:rPr>
          <w:rFonts w:hint="eastAsia" w:ascii="黑体" w:hAnsi="黑体" w:eastAsia="黑体"/>
          <w:sz w:val="36"/>
          <w:szCs w:val="36"/>
          <w:highlight w:val="none"/>
        </w:rPr>
      </w:pPr>
      <w:r>
        <w:rPr>
          <w:rFonts w:hint="eastAsia" w:ascii="宋体" w:hAnsi="宋体" w:eastAsia="宋体" w:cs="宋体"/>
          <w:b/>
          <w:bCs/>
          <w:kern w:val="2"/>
          <w:sz w:val="36"/>
          <w:szCs w:val="44"/>
          <w:highlight w:val="none"/>
          <w:lang w:val="en-US" w:eastAsia="zh-CN" w:bidi="ar-SA"/>
        </w:rPr>
        <w:t>签订日期：</w:t>
      </w:r>
      <w:r>
        <w:rPr>
          <w:rFonts w:hint="eastAsia" w:ascii="宋体" w:hAnsi="宋体" w:eastAsia="宋体" w:cs="宋体"/>
          <w:sz w:val="36"/>
          <w:szCs w:val="36"/>
          <w:highlight w:val="none"/>
          <w:u w:val="single"/>
        </w:rPr>
        <w:t>2025</w:t>
      </w:r>
      <w:r>
        <w:rPr>
          <w:rFonts w:hint="eastAsia" w:ascii="宋体" w:hAnsi="宋体" w:eastAsia="宋体" w:cs="宋体"/>
          <w:sz w:val="36"/>
          <w:szCs w:val="36"/>
          <w:highlight w:val="none"/>
        </w:rPr>
        <w:t>年</w:t>
      </w:r>
      <w:r>
        <w:rPr>
          <w:rFonts w:hint="eastAsia" w:ascii="宋体" w:hAnsi="宋体" w:eastAsia="宋体" w:cs="宋体"/>
          <w:sz w:val="36"/>
          <w:szCs w:val="36"/>
          <w:highlight w:val="none"/>
          <w:u w:val="single"/>
        </w:rPr>
        <w:t xml:space="preserve">   </w:t>
      </w:r>
      <w:r>
        <w:rPr>
          <w:rFonts w:hint="eastAsia" w:ascii="宋体" w:hAnsi="宋体" w:eastAsia="宋体" w:cs="宋体"/>
          <w:sz w:val="36"/>
          <w:szCs w:val="36"/>
          <w:highlight w:val="none"/>
        </w:rPr>
        <w:t>月</w:t>
      </w:r>
      <w:r>
        <w:rPr>
          <w:rFonts w:hint="eastAsia" w:ascii="宋体" w:hAnsi="宋体" w:eastAsia="宋体" w:cs="宋体"/>
          <w:sz w:val="36"/>
          <w:szCs w:val="36"/>
          <w:highlight w:val="none"/>
          <w:u w:val="single"/>
        </w:rPr>
        <w:t xml:space="preserve">   </w:t>
      </w:r>
      <w:r>
        <w:rPr>
          <w:rFonts w:hint="eastAsia" w:ascii="宋体" w:hAnsi="宋体" w:eastAsia="宋体" w:cs="宋体"/>
          <w:sz w:val="36"/>
          <w:szCs w:val="36"/>
          <w:highlight w:val="none"/>
        </w:rPr>
        <w:t>日</w:t>
      </w:r>
    </w:p>
    <w:p w14:paraId="3E8A5302">
      <w:pPr>
        <w:pStyle w:val="4"/>
        <w:rPr>
          <w:rFonts w:hint="eastAsia" w:ascii="黑体" w:hAnsi="黑体" w:eastAsia="黑体"/>
          <w:sz w:val="36"/>
          <w:szCs w:val="36"/>
          <w:highlight w:val="none"/>
        </w:rPr>
        <w:sectPr>
          <w:headerReference r:id="rId3" w:type="default"/>
          <w:footerReference r:id="rId4" w:type="default"/>
          <w:pgSz w:w="11906" w:h="16838"/>
          <w:pgMar w:top="1134" w:right="1701" w:bottom="1134" w:left="1701" w:header="851" w:footer="624" w:gutter="0"/>
          <w:pgNumType w:fmt="decimal"/>
          <w:cols w:space="720" w:num="1"/>
          <w:docGrid w:type="lines" w:linePitch="312" w:charSpace="0"/>
        </w:sectPr>
      </w:pPr>
    </w:p>
    <w:p w14:paraId="7D37BB88">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default"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rPr>
        <w:t>甲方：</w:t>
      </w:r>
      <w:r>
        <w:rPr>
          <w:rFonts w:hint="eastAsia" w:ascii="宋体" w:hAnsi="宋体" w:cs="宋体"/>
          <w:b/>
          <w:bCs/>
          <w:sz w:val="24"/>
          <w:szCs w:val="24"/>
          <w:highlight w:val="none"/>
          <w:u w:val="single"/>
          <w:lang w:val="en-US" w:eastAsia="zh-CN"/>
        </w:rPr>
        <w:t xml:space="preserve">                      </w:t>
      </w:r>
    </w:p>
    <w:p w14:paraId="2CCEFBF1">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bCs/>
          <w:sz w:val="24"/>
          <w:szCs w:val="24"/>
          <w:highlight w:val="none"/>
          <w:u w:val="single"/>
        </w:rPr>
      </w:pPr>
      <w:r>
        <w:rPr>
          <w:rFonts w:hint="eastAsia" w:ascii="宋体" w:hAnsi="宋体" w:eastAsia="宋体" w:cs="宋体"/>
          <w:b/>
          <w:bCs/>
          <w:sz w:val="24"/>
          <w:szCs w:val="24"/>
          <w:highlight w:val="none"/>
        </w:rPr>
        <w:t>乙方：</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single"/>
        </w:rPr>
        <w:t xml:space="preserve">  </w:t>
      </w:r>
    </w:p>
    <w:p w14:paraId="0BFB147E">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为了维护甲乙双方权益，依据《中华人民共和国民法典》及相关法律、行政法规和政府采购招投标管理办法，按照公开、公正、平等、自愿的原则，在充分协商一致的基础上，特订立本合同，以资共同遵守。</w:t>
      </w:r>
    </w:p>
    <w:p w14:paraId="74C1C666">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一、工程概况：</w:t>
      </w:r>
    </w:p>
    <w:p w14:paraId="3CA35ED7">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工程名称：</w:t>
      </w:r>
      <w:r>
        <w:rPr>
          <w:rFonts w:hint="eastAsia" w:ascii="宋体" w:hAnsi="宋体" w:cs="宋体"/>
          <w:sz w:val="24"/>
          <w:szCs w:val="24"/>
          <w:highlight w:val="none"/>
          <w:u w:val="single"/>
          <w:lang w:eastAsia="zh-CN"/>
        </w:rPr>
        <w:t>2025年略阳县五龙洞镇金池院村食用菌产业建设项目</w:t>
      </w:r>
    </w:p>
    <w:p w14:paraId="37B17FC0">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工程地点：</w:t>
      </w:r>
      <w:r>
        <w:rPr>
          <w:rFonts w:hint="eastAsia" w:ascii="宋体" w:hAnsi="宋体" w:cs="宋体"/>
          <w:sz w:val="24"/>
          <w:szCs w:val="24"/>
          <w:highlight w:val="none"/>
          <w:u w:val="single"/>
          <w:lang w:eastAsia="zh-CN"/>
        </w:rPr>
        <w:t>略阳县五龙洞镇金池院村</w:t>
      </w:r>
      <w:r>
        <w:rPr>
          <w:rFonts w:hint="eastAsia" w:ascii="宋体" w:hAnsi="宋体" w:eastAsia="宋体" w:cs="宋体"/>
          <w:sz w:val="24"/>
          <w:szCs w:val="24"/>
          <w:highlight w:val="none"/>
        </w:rPr>
        <w:t>。</w:t>
      </w:r>
    </w:p>
    <w:p w14:paraId="7829302E">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二、工程内容、数量及技术要求：</w:t>
      </w:r>
    </w:p>
    <w:p w14:paraId="47019212">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（详见采购要求）</w:t>
      </w:r>
    </w:p>
    <w:p w14:paraId="3F469315">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三</w:t>
      </w:r>
      <w:r>
        <w:rPr>
          <w:rFonts w:hint="eastAsia" w:ascii="宋体" w:hAnsi="宋体" w:eastAsia="宋体" w:cs="宋体"/>
          <w:b/>
          <w:sz w:val="24"/>
          <w:szCs w:val="24"/>
          <w:highlight w:val="none"/>
        </w:rPr>
        <w:t>、合同价款：</w:t>
      </w:r>
    </w:p>
    <w:p w14:paraId="206F0D1A">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合同暂定价款：</w:t>
      </w:r>
      <w:r>
        <w:rPr>
          <w:rFonts w:hint="eastAsia" w:ascii="宋体" w:hAnsi="宋体" w:eastAsia="宋体" w:cs="宋体"/>
          <w:color w:val="000000"/>
          <w:sz w:val="24"/>
          <w:szCs w:val="24"/>
          <w:highlight w:val="none"/>
        </w:rPr>
        <w:t>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元</w:t>
      </w:r>
      <w:r>
        <w:rPr>
          <w:rFonts w:hint="eastAsia" w:ascii="宋体" w:hAnsi="宋体" w:eastAsia="宋体" w:cs="宋体"/>
          <w:color w:val="000000"/>
          <w:sz w:val="24"/>
          <w:szCs w:val="24"/>
          <w:highlight w:val="none"/>
        </w:rPr>
        <w:t>（大写：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EC5699C">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本工程为固定综合单价合同，本合同执行乙方</w:t>
      </w:r>
      <w:r>
        <w:rPr>
          <w:rFonts w:hint="eastAsia" w:ascii="宋体" w:hAnsi="宋体" w:eastAsia="宋体" w:cs="宋体"/>
          <w:sz w:val="24"/>
          <w:szCs w:val="24"/>
          <w:highlight w:val="none"/>
          <w:lang w:eastAsia="zh-CN"/>
        </w:rPr>
        <w:t>报价</w:t>
      </w:r>
      <w:r>
        <w:rPr>
          <w:rFonts w:hint="eastAsia" w:ascii="宋体" w:hAnsi="宋体" w:eastAsia="宋体" w:cs="宋体"/>
          <w:sz w:val="24"/>
          <w:szCs w:val="24"/>
          <w:highlight w:val="none"/>
        </w:rPr>
        <w:t>优惠后中标固定综合单价。综合单价内含人工费、</w:t>
      </w:r>
      <w:r>
        <w:rPr>
          <w:rFonts w:hint="eastAsia" w:ascii="宋体" w:hAnsi="宋体" w:eastAsia="宋体" w:cs="宋体"/>
          <w:bCs/>
          <w:sz w:val="24"/>
          <w:szCs w:val="24"/>
          <w:highlight w:val="none"/>
        </w:rPr>
        <w:t>主辅材费</w:t>
      </w:r>
      <w:r>
        <w:rPr>
          <w:rFonts w:hint="eastAsia" w:ascii="宋体" w:hAnsi="宋体" w:eastAsia="宋体" w:cs="宋体"/>
          <w:sz w:val="24"/>
          <w:szCs w:val="24"/>
          <w:highlight w:val="none"/>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14:paraId="2E6596C9">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因施工产生的建筑垃圾清运及弃运费（含渣土外运相关手续办理）及成品保护费用均包含在综合单价内，不再另行计费。</w:t>
      </w:r>
    </w:p>
    <w:p w14:paraId="48D573FA">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所有分项工程施工工艺已在开标前由乙方详细勘查现场后根据行业规范及现场实际情况科学组价，与施工相关的一切费用均包含在相关综合单价中，不再另行计费。</w:t>
      </w:r>
    </w:p>
    <w:p w14:paraId="543B2C7C">
      <w:pPr>
        <w:pageBreakBefore w:val="0"/>
        <w:widowControl w:val="0"/>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四、合同工期：</w:t>
      </w:r>
    </w:p>
    <w:p w14:paraId="15A5313F">
      <w:pPr>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自接到采购人开工通知之日起</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日历天内，具体开工日期以双方商定为准。</w:t>
      </w:r>
    </w:p>
    <w:p w14:paraId="23598285">
      <w:pPr>
        <w:pageBreakBefore w:val="0"/>
        <w:widowControl w:val="0"/>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五、工程结算及工程款支付方式：</w:t>
      </w:r>
    </w:p>
    <w:p w14:paraId="7A59368F">
      <w:pPr>
        <w:pageBreakBefore w:val="0"/>
        <w:widowControl w:val="0"/>
        <w:tabs>
          <w:tab w:val="left" w:pos="54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包工包料、包工期、包质量、包安全、包文明施工的施工总承包，工程完工后工程量据实结算，工程造价最终以审计结算结果为准。</w:t>
      </w:r>
    </w:p>
    <w:p w14:paraId="13A076FB">
      <w:pPr>
        <w:adjustRightInd w:val="0"/>
        <w:snapToGrid w:val="0"/>
        <w:spacing w:line="360" w:lineRule="auto"/>
        <w:ind w:firstLine="480" w:firstLineChars="200"/>
        <w:jc w:val="left"/>
        <w:outlineLvl w:val="9"/>
        <w:rPr>
          <w:rFonts w:hint="eastAsia" w:ascii="宋体" w:hAnsi="宋体" w:cs="宋体"/>
          <w:color w:val="000000"/>
          <w:kern w:val="0"/>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本工程在合同签订后待中标（成交）供应商提供符合采购人要求的银行出具的预付款保函后，本项目支付合同总价款的40%作为预付款；正式审计报告出具后采购人在办理完工程款支付审批手续后，向中标（成交）供应商支付至工程审定造价的95%；剩余5%余款在中标（成交）供应商履行保修义务无质量问题后支付。（注：付款前，中标（成交）供应商需向采购人出具合法有效的等额增值税专用或普通发票，否则，视为付款条件不成就，采购人有权拒绝付款，由此造成的损失由中标（成交）供应商承担）</w:t>
      </w:r>
    </w:p>
    <w:p w14:paraId="1BB1D51D">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施工现场所发生施工合同以外的施工内容和新增加的其他工程量，经甲方书面认可该工程量后双方现场据实确认，费用一并计入工程结算中。</w:t>
      </w:r>
    </w:p>
    <w:p w14:paraId="1AFF1D37">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施工现场所发生施工合同以外施工内容综合单价确认办法：</w:t>
      </w:r>
    </w:p>
    <w:p w14:paraId="1F1F42EA">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中已有适用于变更工程的价格，按合同已有价格；合同中没有适用的单价，由乙方提出变更认价报告，甲方对主材认价，相关取费参照2009《陕西省建筑工程工程量清单计价规则》、2004《陕西省建筑、装饰工程消耗量定额》、2004《陕西省安装工程消耗量定额》及2009年陕西省相关价目表规定执行。</w:t>
      </w:r>
    </w:p>
    <w:p w14:paraId="110BFB51">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工程施工结算阶段，乙方应据实申报结算资料及组价，经审计后审减率超出10%（含10%）时，发生的全部审计成果费由乙方承担。</w:t>
      </w:r>
    </w:p>
    <w:p w14:paraId="6BCE3A90">
      <w:pPr>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本工程所发生的水电费由乙方承担，按工程审定造价的5‰（其中电费为3‰，水费为2‰）从工程款项中一次性扣除。</w:t>
      </w:r>
    </w:p>
    <w:p w14:paraId="465098A2">
      <w:pPr>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受相关政策及制度影响，由此可能出现项目内容调整、减少甚至取消部分工程量的情况。对于调减工程量的，所涉及综合单价不予调整。</w:t>
      </w:r>
    </w:p>
    <w:p w14:paraId="7F07D569">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六、工程施工要求：</w:t>
      </w:r>
    </w:p>
    <w:p w14:paraId="5806ECC7">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在施工中应严格管理，自觉遵守政府关于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14:paraId="6749FFD4">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七、质量检查与验收：</w:t>
      </w:r>
    </w:p>
    <w:p w14:paraId="043CB449">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bCs/>
          <w:sz w:val="24"/>
          <w:szCs w:val="24"/>
          <w:highlight w:val="none"/>
        </w:rPr>
        <w:t>本工程所有设备、材料均由乙方负责采购，乙方必须对所采购物资质量负全部责任，</w:t>
      </w:r>
      <w:r>
        <w:rPr>
          <w:rFonts w:hint="eastAsia" w:ascii="宋体" w:hAnsi="宋体" w:eastAsia="宋体" w:cs="宋体"/>
          <w:sz w:val="24"/>
          <w:szCs w:val="24"/>
          <w:highlight w:val="none"/>
        </w:rPr>
        <w:t>工程所用所有材料必须符合国家、行业标准及甲方要求，并与乙方</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所标示品牌一致，所有材料进场前需由建设方、监理方考察认质，</w:t>
      </w:r>
      <w:r>
        <w:rPr>
          <w:rFonts w:hint="eastAsia" w:ascii="宋体" w:hAnsi="宋体" w:eastAsia="宋体" w:cs="宋体"/>
          <w:bCs/>
          <w:sz w:val="24"/>
          <w:szCs w:val="24"/>
          <w:highlight w:val="none"/>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14:paraId="462FF379">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本工程质量等级：符合本工程</w:t>
      </w:r>
      <w:r>
        <w:rPr>
          <w:rFonts w:hint="eastAsia" w:ascii="宋体" w:hAnsi="宋体" w:cs="宋体"/>
          <w:sz w:val="24"/>
          <w:szCs w:val="24"/>
          <w:highlight w:val="none"/>
          <w:lang w:eastAsia="zh-CN"/>
        </w:rPr>
        <w:t>招标文件</w:t>
      </w:r>
      <w:r>
        <w:rPr>
          <w:rFonts w:hint="eastAsia" w:ascii="宋体" w:hAnsi="宋体" w:eastAsia="宋体" w:cs="宋体"/>
          <w:sz w:val="24"/>
          <w:szCs w:val="24"/>
          <w:highlight w:val="none"/>
        </w:rPr>
        <w:t>技术要求及国家、行业标准，达到合格。</w:t>
      </w:r>
    </w:p>
    <w:p w14:paraId="14DBA597">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八、工程</w:t>
      </w:r>
      <w:r>
        <w:rPr>
          <w:rFonts w:hint="eastAsia" w:ascii="宋体" w:hAnsi="宋体" w:eastAsia="宋体" w:cs="宋体"/>
          <w:b/>
          <w:sz w:val="24"/>
          <w:szCs w:val="24"/>
          <w:highlight w:val="none"/>
          <w:lang w:eastAsia="zh-CN"/>
        </w:rPr>
        <w:t>质量保修期</w:t>
      </w:r>
      <w:r>
        <w:rPr>
          <w:rFonts w:hint="eastAsia" w:ascii="宋体" w:hAnsi="宋体" w:eastAsia="宋体" w:cs="宋体"/>
          <w:b/>
          <w:sz w:val="24"/>
          <w:szCs w:val="24"/>
          <w:highlight w:val="none"/>
        </w:rPr>
        <w:t>：</w:t>
      </w:r>
    </w:p>
    <w:p w14:paraId="6C74B5CD">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本工程</w:t>
      </w:r>
      <w:r>
        <w:rPr>
          <w:rFonts w:hint="eastAsia" w:ascii="宋体" w:hAnsi="宋体" w:eastAsia="宋体" w:cs="宋体"/>
          <w:sz w:val="24"/>
          <w:szCs w:val="24"/>
          <w:highlight w:val="none"/>
          <w:lang w:eastAsia="zh-CN"/>
        </w:rPr>
        <w:t>质量保修期自工程竣工验收合格之日</w:t>
      </w:r>
      <w:r>
        <w:rPr>
          <w:rFonts w:hint="eastAsia" w:ascii="宋体" w:hAnsi="宋体" w:cs="宋体"/>
          <w:sz w:val="24"/>
          <w:szCs w:val="24"/>
          <w:highlight w:val="none"/>
          <w:lang w:eastAsia="zh-CN"/>
        </w:rPr>
        <w:t>起</w:t>
      </w:r>
      <w:r>
        <w:rPr>
          <w:rFonts w:hint="eastAsia" w:ascii="宋体" w:hAnsi="宋体" w:eastAsia="宋体" w:cs="宋体"/>
          <w:sz w:val="24"/>
          <w:szCs w:val="24"/>
          <w:highlight w:val="none"/>
          <w:lang w:eastAsia="zh-CN"/>
        </w:rPr>
        <w:t>1年</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质量保修期</w:t>
      </w:r>
      <w:r>
        <w:rPr>
          <w:rFonts w:hint="eastAsia" w:ascii="宋体" w:hAnsi="宋体" w:eastAsia="宋体" w:cs="宋体"/>
          <w:sz w:val="24"/>
          <w:szCs w:val="24"/>
          <w:highlight w:val="none"/>
        </w:rPr>
        <w:t>内如因施工及设备质量问题需要维修，</w:t>
      </w:r>
      <w:r>
        <w:rPr>
          <w:rFonts w:hint="eastAsia" w:ascii="宋体" w:hAnsi="宋体" w:eastAsia="宋体" w:cs="宋体"/>
          <w:bCs/>
          <w:sz w:val="24"/>
          <w:szCs w:val="24"/>
          <w:highlight w:val="none"/>
        </w:rPr>
        <w:t>乙方应保证48小时内提供维修方案，5天内完成维修，</w:t>
      </w:r>
      <w:r>
        <w:rPr>
          <w:rFonts w:hint="eastAsia" w:ascii="宋体" w:hAnsi="宋体" w:eastAsia="宋体" w:cs="宋体"/>
          <w:sz w:val="24"/>
          <w:szCs w:val="24"/>
          <w:highlight w:val="none"/>
        </w:rPr>
        <w:t>无条件免费维修，否则甲方有权另行委托他人完成，所发生的费用均由乙方承担。</w:t>
      </w:r>
    </w:p>
    <w:p w14:paraId="3D4E35EF">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b/>
          <w:bCs/>
          <w:sz w:val="24"/>
          <w:szCs w:val="24"/>
          <w:highlight w:val="none"/>
        </w:rPr>
        <w:t>九、甲方责任：</w:t>
      </w:r>
      <w:bookmarkStart w:id="0" w:name="_GoBack"/>
      <w:bookmarkEnd w:id="0"/>
    </w:p>
    <w:p w14:paraId="28FCD58A">
      <w:pPr>
        <w:pageBreakBefore w:val="0"/>
        <w:widowControl w:val="0"/>
        <w:tabs>
          <w:tab w:val="left" w:pos="1260"/>
        </w:tabs>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甲方指派</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作为甲方施工现场代表，负责施工的监督管理和协调，验收乙方设备、材料来货单及双方往来文件，协调办理乙方进场施工手续。</w:t>
      </w:r>
    </w:p>
    <w:p w14:paraId="605FE90C">
      <w:pPr>
        <w:pageBreakBefore w:val="0"/>
        <w:widowControl w:val="0"/>
        <w:tabs>
          <w:tab w:val="left" w:pos="1260"/>
        </w:tabs>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指定乙方施工时所需的材料及工具堆放地点，指定水电源接点位置；</w:t>
      </w:r>
    </w:p>
    <w:p w14:paraId="2D2D5576">
      <w:pPr>
        <w:pageBreakBefore w:val="0"/>
        <w:widowControl w:val="0"/>
        <w:tabs>
          <w:tab w:val="left" w:pos="900"/>
          <w:tab w:val="left" w:pos="108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cs="宋体"/>
          <w:color w:val="000000"/>
          <w:sz w:val="24"/>
          <w:szCs w:val="24"/>
          <w:highlight w:val="none"/>
          <w:lang w:val="en-US" w:eastAsia="zh-CN"/>
        </w:rPr>
        <w:t>.</w:t>
      </w:r>
      <w:r>
        <w:rPr>
          <w:rFonts w:hint="eastAsia" w:ascii="宋体" w:hAnsi="宋体" w:eastAsia="宋体" w:cs="宋体"/>
          <w:color w:val="000000"/>
          <w:sz w:val="24"/>
          <w:szCs w:val="24"/>
          <w:highlight w:val="none"/>
        </w:rPr>
        <w:t>对乙方项目部组成人员名单、修改完善后的施工组织设计、施工进度计划横线图及相关技术资料进行审批和签署。</w:t>
      </w:r>
    </w:p>
    <w:p w14:paraId="14007F3E">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十、乙方责任：</w:t>
      </w:r>
    </w:p>
    <w:p w14:paraId="02163D7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乙方指派</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作为工地项目负责人，负责设备、材料安装、工程质量和施工安全的管理以及签收双方往来文件等。</w:t>
      </w:r>
    </w:p>
    <w:p w14:paraId="34B592E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乙方工地负责人，联系电话</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，微信号</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，邮箱</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p>
    <w:p w14:paraId="4A03E249">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设备、材料进场及安装时接受甲方的全程监督管理。</w:t>
      </w:r>
    </w:p>
    <w:p w14:paraId="3CF77FA6">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严格按照技术要求、施工内容和制作要求进行生产和施工安装，对不符合合同要求的设备、材料及不符合验收标准的设备、材料进行改造和更换。</w:t>
      </w:r>
    </w:p>
    <w:p w14:paraId="502F7B8C">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负责做好施工期间材料、设备的保管。</w:t>
      </w:r>
    </w:p>
    <w:p w14:paraId="3A31FBEB">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按时按质完成设备、材料的制作、采购和安装调试，保证甲方的正常使用，并向甲方及时提交工程审计结算所需完整资料。</w:t>
      </w:r>
    </w:p>
    <w:p w14:paraId="54F89AE6">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在工程施工和设备、材料安装过程中，不得任意破坏甲方土建结构，如确实需要改动土建结构的，需经甲方书面同意，否则，需向甲方支付30%的违约金，造成甲方损失的，还应赔偿甲方全部经济损失。</w:t>
      </w:r>
    </w:p>
    <w:p w14:paraId="652A6EDB">
      <w:pPr>
        <w:pageBreakBefore w:val="0"/>
        <w:widowControl w:val="0"/>
        <w:tabs>
          <w:tab w:val="left" w:pos="1080"/>
          <w:tab w:val="left" w:pos="1260"/>
        </w:tabs>
        <w:kinsoku/>
        <w:wordWrap/>
        <w:overflowPunct/>
        <w:topLinePunct w:val="0"/>
        <w:autoSpaceDE/>
        <w:autoSpaceDN/>
        <w:bidi w:val="0"/>
        <w:adjustRightInd w:val="0"/>
        <w:snapToGrid w:val="0"/>
        <w:spacing w:line="360" w:lineRule="auto"/>
        <w:ind w:left="0" w:firstLine="482"/>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十一、违约责任：</w:t>
      </w:r>
    </w:p>
    <w:p w14:paraId="71B1BCC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乙方必须提前做好准备，科学合理组织人力、物力及设备投入，必须保证保质、保量、按期完工，未经甲方书面同意，工期每推迟一天，按照合同价的1%按天累计从工程款项中一次性扣除。延期超过30天，甲方有权解除合同。</w:t>
      </w:r>
    </w:p>
    <w:p w14:paraId="470D3F74">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14:paraId="7592BBF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w:t>
      </w:r>
      <w:r>
        <w:rPr>
          <w:rFonts w:hint="eastAsia" w:ascii="宋体" w:hAnsi="宋体" w:cs="宋体"/>
          <w:bCs/>
          <w:sz w:val="24"/>
          <w:szCs w:val="24"/>
          <w:highlight w:val="none"/>
          <w:lang w:val="en-US" w:eastAsia="zh-CN"/>
        </w:rPr>
        <w:t>.</w:t>
      </w:r>
      <w:r>
        <w:rPr>
          <w:rFonts w:hint="eastAsia" w:ascii="宋体" w:hAnsi="宋体" w:eastAsia="宋体" w:cs="宋体"/>
          <w:bCs/>
          <w:sz w:val="24"/>
          <w:szCs w:val="24"/>
          <w:highlight w:val="none"/>
        </w:rPr>
        <w:t>除不可抗力外，因一方原因，合同无法继续履行时，应在不可抗力发生之日起30日内书面通知另一方，双方协商一致后办理合同终止协议，并由责任方赔偿对方由此造成的经济损失。</w:t>
      </w:r>
    </w:p>
    <w:p w14:paraId="623C8AF9">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14:paraId="24528335">
      <w:pPr>
        <w:pageBreakBefore w:val="0"/>
        <w:widowControl w:val="0"/>
        <w:tabs>
          <w:tab w:val="left" w:pos="1080"/>
          <w:tab w:val="left" w:pos="1260"/>
          <w:tab w:val="left" w:pos="8120"/>
        </w:tabs>
        <w:kinsoku/>
        <w:wordWrap/>
        <w:overflowPunct/>
        <w:topLinePunct w:val="0"/>
        <w:autoSpaceDE/>
        <w:autoSpaceDN/>
        <w:bidi w:val="0"/>
        <w:adjustRightInd w:val="0"/>
        <w:snapToGrid w:val="0"/>
        <w:spacing w:line="360" w:lineRule="auto"/>
        <w:ind w:left="0" w:firstLine="482"/>
        <w:textAlignment w:val="auto"/>
        <w:rPr>
          <w:rFonts w:hint="eastAsia" w:ascii="宋体" w:hAnsi="宋体" w:eastAsia="宋体" w:cs="宋体"/>
          <w:color w:val="000000"/>
          <w:sz w:val="24"/>
          <w:szCs w:val="24"/>
          <w:highlight w:val="none"/>
        </w:rPr>
      </w:pPr>
      <w:r>
        <w:rPr>
          <w:rFonts w:hint="eastAsia" w:ascii="宋体" w:hAnsi="宋体" w:eastAsia="宋体" w:cs="宋体"/>
          <w:b/>
          <w:bCs/>
          <w:sz w:val="24"/>
          <w:szCs w:val="24"/>
          <w:highlight w:val="none"/>
        </w:rPr>
        <w:t>十二、争议解决方式：</w:t>
      </w:r>
      <w:r>
        <w:rPr>
          <w:rFonts w:hint="eastAsia" w:ascii="宋体" w:hAnsi="宋体" w:eastAsia="宋体" w:cs="宋体"/>
          <w:b/>
          <w:bCs/>
          <w:sz w:val="24"/>
          <w:szCs w:val="24"/>
          <w:highlight w:val="none"/>
        </w:rPr>
        <w:tab/>
      </w:r>
    </w:p>
    <w:p w14:paraId="25ABCDCC">
      <w:pPr>
        <w:pageBreakBefore w:val="0"/>
        <w:widowControl w:val="0"/>
        <w:kinsoku/>
        <w:wordWrap/>
        <w:overflowPunct/>
        <w:topLinePunct w:val="0"/>
        <w:autoSpaceDE/>
        <w:autoSpaceDN/>
        <w:bidi w:val="0"/>
        <w:adjustRightInd w:val="0"/>
        <w:snapToGrid w:val="0"/>
        <w:spacing w:line="360" w:lineRule="auto"/>
        <w:ind w:left="0" w:firstLine="424" w:firstLineChars="177"/>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此合同未尽事宜，双方友好协商解决，如协商未果，交由施工所在地人民法院诉讼解决。   </w:t>
      </w:r>
    </w:p>
    <w:p w14:paraId="2A272A7F">
      <w:pPr>
        <w:pageBreakBefore w:val="0"/>
        <w:widowControl w:val="0"/>
        <w:kinsoku/>
        <w:wordWrap/>
        <w:overflowPunct/>
        <w:topLinePunct w:val="0"/>
        <w:autoSpaceDE/>
        <w:autoSpaceDN/>
        <w:bidi w:val="0"/>
        <w:adjustRightInd w:val="0"/>
        <w:snapToGrid w:val="0"/>
        <w:spacing w:line="360" w:lineRule="auto"/>
        <w:ind w:left="0" w:firstLine="426" w:firstLineChars="177"/>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十三、其他约定</w:t>
      </w:r>
    </w:p>
    <w:p w14:paraId="0CD8DF4D">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与本合同有关的招标文件、施工图纸、工程量清单、</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、工程变更资料、会议纪要、工程签证、工程预决算、技术资料、业务往来文件均为本合同之附件，与本合同具有同等法律效力。</w:t>
      </w:r>
    </w:p>
    <w:p w14:paraId="10F18F9C">
      <w:pPr>
        <w:pageBreakBefore w:val="0"/>
        <w:widowControl w:val="0"/>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陆</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rPr>
        <w:t xml:space="preserve"> 肆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rPr>
        <w:t>贰</w:t>
      </w:r>
      <w:r>
        <w:rPr>
          <w:rFonts w:hint="eastAsia" w:ascii="宋体" w:hAnsi="宋体" w:eastAsia="宋体" w:cs="宋体"/>
          <w:sz w:val="24"/>
          <w:szCs w:val="24"/>
          <w:highlight w:val="none"/>
        </w:rPr>
        <w:t>份，</w:t>
      </w:r>
      <w:r>
        <w:rPr>
          <w:rFonts w:hint="eastAsia" w:ascii="宋体" w:hAnsi="宋体" w:eastAsia="宋体" w:cs="宋体"/>
          <w:color w:val="000000"/>
          <w:sz w:val="24"/>
          <w:szCs w:val="24"/>
          <w:highlight w:val="none"/>
        </w:rPr>
        <w:t>经双方签字并盖章生效，具有同等的法律效力，至合同履行完毕时自行解除。</w:t>
      </w:r>
    </w:p>
    <w:p w14:paraId="636E725E">
      <w:pPr>
        <w:pStyle w:val="3"/>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（以下无正文）</w:t>
      </w:r>
    </w:p>
    <w:p w14:paraId="7E440F7D">
      <w:pPr>
        <w:rPr>
          <w:rFonts w:hint="eastAsia" w:ascii="宋体" w:hAnsi="宋体" w:eastAsia="宋体" w:cs="宋体"/>
          <w:kern w:val="2"/>
          <w:sz w:val="24"/>
          <w:szCs w:val="24"/>
          <w:highlight w:val="none"/>
          <w:lang w:val="en-US" w:eastAsia="zh-CN" w:bidi="ar-SA"/>
        </w:rPr>
      </w:pPr>
    </w:p>
    <w:p w14:paraId="765D1EA0">
      <w:pPr>
        <w:rPr>
          <w:rFonts w:hint="eastAsia" w:ascii="宋体" w:hAnsi="宋体" w:eastAsia="宋体" w:cs="宋体"/>
          <w:kern w:val="2"/>
          <w:sz w:val="24"/>
          <w:szCs w:val="24"/>
          <w:highlight w:val="none"/>
          <w:lang w:val="en-US" w:eastAsia="zh-CN" w:bidi="ar-SA"/>
        </w:rPr>
      </w:pPr>
    </w:p>
    <w:tbl>
      <w:tblPr>
        <w:tblStyle w:val="7"/>
        <w:tblW w:w="8300" w:type="dxa"/>
        <w:jc w:val="center"/>
        <w:tblLayout w:type="autofit"/>
        <w:tblCellMar>
          <w:top w:w="0" w:type="dxa"/>
          <w:left w:w="108" w:type="dxa"/>
          <w:bottom w:w="0" w:type="dxa"/>
          <w:right w:w="108" w:type="dxa"/>
        </w:tblCellMar>
      </w:tblPr>
      <w:tblGrid>
        <w:gridCol w:w="4150"/>
        <w:gridCol w:w="4150"/>
      </w:tblGrid>
      <w:tr w14:paraId="508C6505">
        <w:tblPrEx>
          <w:tblCellMar>
            <w:top w:w="0" w:type="dxa"/>
            <w:left w:w="108" w:type="dxa"/>
            <w:bottom w:w="0" w:type="dxa"/>
            <w:right w:w="108" w:type="dxa"/>
          </w:tblCellMar>
        </w:tblPrEx>
        <w:trPr>
          <w:trHeight w:val="540" w:hRule="atLeast"/>
          <w:jc w:val="center"/>
        </w:trPr>
        <w:tc>
          <w:tcPr>
            <w:tcW w:w="0" w:type="auto"/>
            <w:noWrap w:val="0"/>
            <w:vAlign w:val="center"/>
          </w:tcPr>
          <w:p w14:paraId="328F4F7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甲方（盖章）：</w:t>
            </w:r>
          </w:p>
        </w:tc>
        <w:tc>
          <w:tcPr>
            <w:tcW w:w="0" w:type="auto"/>
            <w:noWrap w:val="0"/>
            <w:vAlign w:val="center"/>
          </w:tcPr>
          <w:p w14:paraId="396ACDA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乙方（盖章）：</w:t>
            </w:r>
          </w:p>
        </w:tc>
      </w:tr>
      <w:tr w14:paraId="3144EBB7">
        <w:tblPrEx>
          <w:tblCellMar>
            <w:top w:w="0" w:type="dxa"/>
            <w:left w:w="108" w:type="dxa"/>
            <w:bottom w:w="0" w:type="dxa"/>
            <w:right w:w="108" w:type="dxa"/>
          </w:tblCellMar>
        </w:tblPrEx>
        <w:trPr>
          <w:trHeight w:val="540" w:hRule="atLeast"/>
          <w:jc w:val="center"/>
        </w:trPr>
        <w:tc>
          <w:tcPr>
            <w:tcW w:w="0" w:type="auto"/>
            <w:noWrap w:val="0"/>
            <w:vAlign w:val="center"/>
          </w:tcPr>
          <w:p w14:paraId="369EFF63">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0" w:type="auto"/>
            <w:noWrap w:val="0"/>
            <w:vAlign w:val="center"/>
          </w:tcPr>
          <w:p w14:paraId="2C84404C">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r>
      <w:tr w14:paraId="7DD4E338">
        <w:tblPrEx>
          <w:tblCellMar>
            <w:top w:w="0" w:type="dxa"/>
            <w:left w:w="108" w:type="dxa"/>
            <w:bottom w:w="0" w:type="dxa"/>
            <w:right w:w="108" w:type="dxa"/>
          </w:tblCellMar>
        </w:tblPrEx>
        <w:trPr>
          <w:trHeight w:val="1082" w:hRule="atLeast"/>
          <w:jc w:val="center"/>
        </w:trPr>
        <w:tc>
          <w:tcPr>
            <w:tcW w:w="0" w:type="auto"/>
            <w:noWrap w:val="0"/>
            <w:vAlign w:val="center"/>
          </w:tcPr>
          <w:p w14:paraId="4BE98066">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负责人</w:t>
            </w:r>
          </w:p>
          <w:p w14:paraId="6CD2DBC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c>
          <w:tcPr>
            <w:tcW w:w="0" w:type="auto"/>
            <w:noWrap w:val="0"/>
            <w:vAlign w:val="center"/>
          </w:tcPr>
          <w:p w14:paraId="1340750D">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p>
          <w:p w14:paraId="1B705789">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r>
      <w:tr w14:paraId="2770CF98">
        <w:tblPrEx>
          <w:tblCellMar>
            <w:top w:w="0" w:type="dxa"/>
            <w:left w:w="108" w:type="dxa"/>
            <w:bottom w:w="0" w:type="dxa"/>
            <w:right w:w="108" w:type="dxa"/>
          </w:tblCellMar>
        </w:tblPrEx>
        <w:trPr>
          <w:trHeight w:val="540" w:hRule="atLeast"/>
          <w:jc w:val="center"/>
        </w:trPr>
        <w:tc>
          <w:tcPr>
            <w:tcW w:w="0" w:type="auto"/>
            <w:noWrap w:val="0"/>
            <w:vAlign w:val="center"/>
          </w:tcPr>
          <w:p w14:paraId="6B631B81">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c>
          <w:tcPr>
            <w:tcW w:w="0" w:type="auto"/>
            <w:noWrap w:val="0"/>
            <w:vAlign w:val="center"/>
          </w:tcPr>
          <w:p w14:paraId="5A560C9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r>
      <w:tr w14:paraId="25C01519">
        <w:tblPrEx>
          <w:tblCellMar>
            <w:top w:w="0" w:type="dxa"/>
            <w:left w:w="108" w:type="dxa"/>
            <w:bottom w:w="0" w:type="dxa"/>
            <w:right w:w="108" w:type="dxa"/>
          </w:tblCellMar>
        </w:tblPrEx>
        <w:trPr>
          <w:trHeight w:val="540" w:hRule="atLeast"/>
          <w:jc w:val="center"/>
        </w:trPr>
        <w:tc>
          <w:tcPr>
            <w:tcW w:w="0" w:type="auto"/>
            <w:noWrap w:val="0"/>
            <w:vAlign w:val="center"/>
          </w:tcPr>
          <w:p w14:paraId="05FE6453">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0" w:type="auto"/>
            <w:noWrap w:val="0"/>
            <w:vAlign w:val="center"/>
          </w:tcPr>
          <w:p w14:paraId="3AB91352">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r>
      <w:tr w14:paraId="1CEB4EEE">
        <w:tblPrEx>
          <w:tblCellMar>
            <w:top w:w="0" w:type="dxa"/>
            <w:left w:w="108" w:type="dxa"/>
            <w:bottom w:w="0" w:type="dxa"/>
            <w:right w:w="108" w:type="dxa"/>
          </w:tblCellMar>
        </w:tblPrEx>
        <w:trPr>
          <w:trHeight w:val="540" w:hRule="atLeast"/>
          <w:jc w:val="center"/>
        </w:trPr>
        <w:tc>
          <w:tcPr>
            <w:tcW w:w="0" w:type="auto"/>
            <w:noWrap w:val="0"/>
            <w:vAlign w:val="center"/>
          </w:tcPr>
          <w:p w14:paraId="1C3FD10E">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开户银行：</w:t>
            </w:r>
          </w:p>
        </w:tc>
        <w:tc>
          <w:tcPr>
            <w:tcW w:w="0" w:type="auto"/>
            <w:noWrap w:val="0"/>
            <w:vAlign w:val="center"/>
          </w:tcPr>
          <w:p w14:paraId="011E2879">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开户银行：                </w:t>
            </w:r>
          </w:p>
        </w:tc>
      </w:tr>
      <w:tr w14:paraId="5A43AD9B">
        <w:tblPrEx>
          <w:tblCellMar>
            <w:top w:w="0" w:type="dxa"/>
            <w:left w:w="108" w:type="dxa"/>
            <w:bottom w:w="0" w:type="dxa"/>
            <w:right w:w="108" w:type="dxa"/>
          </w:tblCellMar>
        </w:tblPrEx>
        <w:trPr>
          <w:trHeight w:val="540" w:hRule="atLeast"/>
          <w:jc w:val="center"/>
        </w:trPr>
        <w:tc>
          <w:tcPr>
            <w:tcW w:w="0" w:type="auto"/>
            <w:noWrap w:val="0"/>
            <w:vAlign w:val="center"/>
          </w:tcPr>
          <w:p w14:paraId="2AB32F65">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c>
          <w:tcPr>
            <w:tcW w:w="0" w:type="auto"/>
            <w:noWrap w:val="0"/>
            <w:vAlign w:val="center"/>
          </w:tcPr>
          <w:p w14:paraId="120F6382">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r>
      <w:tr w14:paraId="2A98CFF8">
        <w:tblPrEx>
          <w:tblCellMar>
            <w:top w:w="0" w:type="dxa"/>
            <w:left w:w="108" w:type="dxa"/>
            <w:bottom w:w="0" w:type="dxa"/>
            <w:right w:w="108" w:type="dxa"/>
          </w:tblCellMar>
        </w:tblPrEx>
        <w:trPr>
          <w:trHeight w:val="540" w:hRule="atLeast"/>
          <w:jc w:val="center"/>
        </w:trPr>
        <w:tc>
          <w:tcPr>
            <w:tcW w:w="0" w:type="auto"/>
            <w:noWrap w:val="0"/>
            <w:vAlign w:val="center"/>
          </w:tcPr>
          <w:p w14:paraId="37D33FC6">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c>
          <w:tcPr>
            <w:tcW w:w="0" w:type="auto"/>
            <w:noWrap w:val="0"/>
            <w:vAlign w:val="center"/>
          </w:tcPr>
          <w:p w14:paraId="7FD8D551">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r>
    </w:tbl>
    <w:p w14:paraId="1840ED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20B0604020202020204"/>
    <w:charset w:val="00"/>
    <w:family w:val="swiss"/>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CC1FD">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C93CA2">
                          <w:pPr>
                            <w:pStyle w:val="5"/>
                          </w:pPr>
                          <w:r>
                            <w:t xml:space="preserve">第 </w:t>
                          </w:r>
                          <w:r>
                            <w:fldChar w:fldCharType="begin"/>
                          </w:r>
                          <w:r>
                            <w:instrText xml:space="preserve"> PAGE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3C93CA2">
                    <w:pPr>
                      <w:pStyle w:val="5"/>
                    </w:pPr>
                    <w:r>
                      <w:t xml:space="preserve">第 </w:t>
                    </w:r>
                    <w:r>
                      <w:fldChar w:fldCharType="begin"/>
                    </w:r>
                    <w:r>
                      <w:instrText xml:space="preserve"> PAGE  \* MERGEFORMAT </w:instrText>
                    </w:r>
                    <w:r>
                      <w:fldChar w:fldCharType="separate"/>
                    </w:r>
                    <w:r>
                      <w:t>20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0B377">
    <w:pPr>
      <w:pStyle w:val="6"/>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49053A"/>
    <w:rsid w:val="29490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w:basedOn w:val="1"/>
    <w:next w:val="1"/>
    <w:qFormat/>
    <w:uiPriority w:val="1"/>
    <w:rPr>
      <w:rFonts w:ascii="宋体" w:hAnsi="宋体" w:eastAsia="宋体" w:cs="宋体"/>
      <w:sz w:val="21"/>
      <w:szCs w:val="21"/>
      <w:lang w:val="zh-CN" w:eastAsia="zh-CN" w:bidi="zh-CN"/>
    </w:rPr>
  </w:style>
  <w:style w:type="paragraph" w:styleId="4">
    <w:name w:val="Body Text Indent 2"/>
    <w:basedOn w:val="1"/>
    <w:qFormat/>
    <w:uiPriority w:val="99"/>
    <w:pPr>
      <w:overflowPunct w:val="0"/>
      <w:autoSpaceDE w:val="0"/>
      <w:autoSpaceDN w:val="0"/>
      <w:adjustRightInd w:val="0"/>
      <w:spacing w:line="360" w:lineRule="auto"/>
      <w:ind w:firstLine="555"/>
      <w:textAlignment w:val="baseline"/>
    </w:pPr>
    <w:rPr>
      <w:rFonts w:ascii="宋体" w:hAnsi="MS Sans Serif"/>
      <w:spacing w:val="12"/>
      <w:sz w:val="24"/>
      <w:szCs w:val="2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2025-10-26T08:33:00Z</dcterms:created>
  <dc:creator>情似风</dc:creator>
  <cp:lastModifiedBy>情似风</cp:lastModifiedBy>
  <dcterms:modified xsi:type="dcterms:W3CDTF">2025-10-26T08:37:31Z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7B790A4EDB5842739955BDCB5E7C9E5D_11</vt:lpwstr>
  </property>
  <property fmtid="{D5CDD505-2E9C-101B-9397-08002B2CF9AE}" pid="4" name="KSOTemplateDocerSaveRecord">
    <vt:lpwstr>eyJoZGlkIjoiMGEwODMxYWI2YTFlNGFjNzlmMDFmOWQ1YzcxM2MzNTMiLCJ1c2VySWQiOiIyNjAzNTY4OTQifQ==</vt:lpwstr>
  </property>
</Properties>
</file>