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版本号：kczc-2025-03220251029001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嘉陵江上游重要鱼类栖息地生物多样性调查报告项目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kczc-2025-032</w:t>
      </w:r>
      <w:r>
        <w:br/>
      </w:r>
      <w:r>
        <w:br/>
      </w:r>
      <w:r>
        <w:br/>
      </w:r>
    </w:p>
    <w:p>
      <w:pPr>
        <w:pStyle w:val="null3"/>
        <w:jc w:val="center"/>
        <w:outlineLvl w:val="2"/>
      </w:pPr>
      <w:r>
        <w:rPr>
          <w:rFonts w:ascii="仿宋_GB2312" w:hAnsi="仿宋_GB2312" w:cs="仿宋_GB2312" w:eastAsia="仿宋_GB2312"/>
          <w:sz w:val="28"/>
          <w:b/>
        </w:rPr>
        <w:t>略阳县水利局</w:t>
      </w:r>
    </w:p>
    <w:p>
      <w:pPr>
        <w:pStyle w:val="null3"/>
        <w:jc w:val="center"/>
        <w:outlineLvl w:val="2"/>
      </w:pPr>
      <w:r>
        <w:rPr>
          <w:rFonts w:ascii="仿宋_GB2312" w:hAnsi="仿宋_GB2312" w:cs="仿宋_GB2312" w:eastAsia="仿宋_GB2312"/>
          <w:sz w:val="28"/>
          <w:b/>
        </w:rPr>
        <w:t>康诚建设有限公司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康诚建设有限公司</w:t>
      </w:r>
      <w:r>
        <w:rPr>
          <w:rFonts w:ascii="仿宋_GB2312" w:hAnsi="仿宋_GB2312" w:cs="仿宋_GB2312" w:eastAsia="仿宋_GB2312"/>
        </w:rPr>
        <w:t>（以下简称“代理机构”）受</w:t>
      </w:r>
      <w:r>
        <w:rPr>
          <w:rFonts w:ascii="仿宋_GB2312" w:hAnsi="仿宋_GB2312" w:cs="仿宋_GB2312" w:eastAsia="仿宋_GB2312"/>
        </w:rPr>
        <w:t>略阳县水利局</w:t>
      </w:r>
      <w:r>
        <w:rPr>
          <w:rFonts w:ascii="仿宋_GB2312" w:hAnsi="仿宋_GB2312" w:cs="仿宋_GB2312" w:eastAsia="仿宋_GB2312"/>
        </w:rPr>
        <w:t>委托，拟对</w:t>
      </w:r>
      <w:r>
        <w:rPr>
          <w:rFonts w:ascii="仿宋_GB2312" w:hAnsi="仿宋_GB2312" w:cs="仿宋_GB2312" w:eastAsia="仿宋_GB2312"/>
        </w:rPr>
        <w:t>嘉陵江上游重要鱼类栖息地生物多样性调查报告项目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kczc-2025-032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嘉陵江上游重要鱼类栖息地生物多样性调查报告项目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对针对嘉陵江上游重要鱼类栖息地开展生物多样性调查，采样点涵盖急流、浅滩、深潭、河口、支流河口、河漫滩、水库和湖泊等代表性生境类型，重要物种或珍稀种类的索饵、洄游及产卵场等重要栖息地。威胁因子发生地点应设置采样点。根据河流类型与环境条件，鱼类应在采样点布设样线，采用围网法、撒网法、刺笼法等方法进行直接采样，并通过鱼市调查作为补充，底栖动物及浮游生物应布设断面进行采样。通过梳理现场调查数据，开展分析、评价工作，编制完成嘉陵江上游重要鱼类栖息地生物多样性调查报告。 2.报告须满足《全国生物物种资源调查技术规定（试行）》（2010年第27号公告）等相关规范技术要求。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采购包1（嘉陵江上游重要鱼类栖息地生物多样性调查报告项目）：属于专门面向中小企业采购。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或单位负责人授权书：供应商应授权合法的人员参加投标全过程，其中法定代表人直接参加投标的，须出具法定代表人身份证，并与营业执照上信息一致。法定代表人授权他人参加投标的，须提供法定代表人授权委托书。</w:t>
      </w:r>
    </w:p>
    <w:p>
      <w:pPr>
        <w:pStyle w:val="null3"/>
      </w:pPr>
      <w:r>
        <w:rPr>
          <w:rFonts w:ascii="仿宋_GB2312" w:hAnsi="仿宋_GB2312" w:cs="仿宋_GB2312" w:eastAsia="仿宋_GB2312"/>
        </w:rPr>
        <w:t>3、供应商资格承诺函：提供《汉中市政府采购供应商资格承诺函》。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略阳县人民政府6楼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略阳县水利局经办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康诚建设有限公司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汉中市汉台区南一环路海洋城商务2号楼701室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陈苗苗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15517177929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开户名称：康诚建设有限公司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银行账号：61050110066600000595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代理服务费收费标准：1、本项目由成交供应商向采购代理机构支付采购代理服务费，招标代理服务费的收取参见国家计委颁布的《招标代理服务收费管理暂 行办法》 (计价格[2002]1980号) 和(发改办价格[2003]857号) 中服务类按1.5%收费收取，在领取成交通知书时向招标代理机构一次性缴纳。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略阳县水利局</w:t>
      </w:r>
      <w:r>
        <w:rPr>
          <w:rFonts w:ascii="仿宋_GB2312" w:hAnsi="仿宋_GB2312" w:cs="仿宋_GB2312" w:eastAsia="仿宋_GB2312"/>
        </w:rPr>
        <w:t>和</w:t>
      </w:r>
      <w:r>
        <w:rPr>
          <w:rFonts w:ascii="仿宋_GB2312" w:hAnsi="仿宋_GB2312" w:cs="仿宋_GB2312" w:eastAsia="仿宋_GB2312"/>
        </w:rPr>
        <w:t>康诚建设有限公司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康诚建设有限公司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康诚建设有限公司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符合国家、省、市相关的法规和规章以及采购人的要求。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联系人：陈苗苗</w:t>
      </w:r>
    </w:p>
    <w:p>
      <w:pPr>
        <w:pStyle w:val="null3"/>
      </w:pPr>
      <w:r>
        <w:rPr>
          <w:rFonts w:ascii="仿宋_GB2312" w:hAnsi="仿宋_GB2312" w:cs="仿宋_GB2312" w:eastAsia="仿宋_GB2312"/>
        </w:rPr>
        <w:t>联系电话：15517177929</w:t>
      </w:r>
    </w:p>
    <w:p>
      <w:pPr>
        <w:pStyle w:val="null3"/>
      </w:pPr>
      <w:r>
        <w:rPr>
          <w:rFonts w:ascii="仿宋_GB2312" w:hAnsi="仿宋_GB2312" w:cs="仿宋_GB2312" w:eastAsia="仿宋_GB2312"/>
        </w:rPr>
        <w:t>地址：汉中市汉台区南一环路海洋城商务2号楼701室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对针对嘉陵江上游重要鱼类栖息地开展生物多样性调查，采样点涵盖急流、浅滩、深潭、河口、支流河口、河漫滩、水库和湖泊等代表性生境类型，重要物种或珍稀种类的索饵、洄游及产卵场等重要栖息地。威胁因子发生地点应设置采样点。根据河流类型与环境条件，鱼类应在采样点布设样线，采用围网法、撒网法、刺笼法等方法进行直接采样，并通过鱼市调查作为补充，底栖动物及浮游生物应布设断面进行采样。通过梳理现场调查数据，开展分析、评价工作，编制完成嘉陵江上游重要鱼类栖息地生物多样性调查报告。 2.报告须满足《全国生物物种资源调查技术规定（试行）》（2010年第27号公告）等相关规范技术要求。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嘉陵江上游重要鱼类栖息地生物多样性调查报告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标的名称：嘉陵江上游重要鱼类栖息地生物多样性调查报告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（以下为实质性要求，供应商必须响应并满足的需求）</w:t>
            </w:r>
          </w:p>
          <w:p>
            <w:pPr>
              <w:pStyle w:val="null3"/>
              <w:ind w:firstLine="640"/>
              <w:jc w:val="both"/>
            </w:pPr>
            <w:r>
              <w:rPr>
                <w:rFonts w:ascii="仿宋_GB2312" w:hAnsi="仿宋_GB2312" w:cs="仿宋_GB2312" w:eastAsia="仿宋_GB2312"/>
                <w:sz w:val="21"/>
                <w:b/>
              </w:rPr>
              <w:t>一、采购内容：</w:t>
            </w:r>
          </w:p>
          <w:p>
            <w:pPr>
              <w:pStyle w:val="null3"/>
              <w:ind w:firstLine="640"/>
              <w:jc w:val="both"/>
            </w:pPr>
            <w:r>
              <w:rPr>
                <w:rFonts w:ascii="仿宋_GB2312" w:hAnsi="仿宋_GB2312" w:cs="仿宋_GB2312" w:eastAsia="仿宋_GB2312"/>
                <w:sz w:val="21"/>
                <w:b/>
              </w:rPr>
              <w:t>针对嘉陵江上游重要鱼类栖息地开展生物多样性调查，采样点涵盖急流、浅滩、深潭、河口、支流河口、河漫滩、水库和湖泊等代表性生境类型，重要物种或珍稀种类的索饵、洄游及产卵场等重要栖息地。威胁因子发生地点应设置采样点。根据河流类型与环境条件，鱼类应在采样点布设样线，采用围网法、撒网法、刺笼法等方法进行直接采样，并通过鱼市调查作为补充，底栖动物及浮游生物应布设断面进行采样。通过梳理现场调查数据，开展分析、评价工作，编制完成嘉陵江上游重要鱼类栖息地生物多样性调查报告。</w:t>
            </w:r>
          </w:p>
          <w:p>
            <w:pPr>
              <w:pStyle w:val="null3"/>
              <w:ind w:firstLine="640"/>
              <w:jc w:val="both"/>
            </w:pPr>
            <w:r>
              <w:rPr>
                <w:rFonts w:ascii="仿宋_GB2312" w:hAnsi="仿宋_GB2312" w:cs="仿宋_GB2312" w:eastAsia="仿宋_GB2312"/>
                <w:sz w:val="21"/>
                <w:b/>
              </w:rPr>
              <w:t>报告须满足《自然保护区生物多样性调查规范》（LY/T1814-2009）、《自然保护地生态环境调查与观测技术规范》（HJ1311-2023）、《全国生物物种资源调查技术规定（试行）》（2010年第27号公告）、《自然保护区建设项目生物多样性影响评价技术规范》（LY/T2242-2014）等相关规范技术要求。</w:t>
            </w:r>
          </w:p>
          <w:p>
            <w:pPr>
              <w:pStyle w:val="null3"/>
              <w:ind w:firstLine="640"/>
              <w:jc w:val="both"/>
            </w:pPr>
            <w:r>
              <w:rPr>
                <w:rFonts w:ascii="仿宋_GB2312" w:hAnsi="仿宋_GB2312" w:cs="仿宋_GB2312" w:eastAsia="仿宋_GB2312"/>
                <w:sz w:val="21"/>
                <w:b/>
              </w:rPr>
              <w:t>二、成果文件要求</w:t>
            </w:r>
          </w:p>
          <w:p>
            <w:pPr>
              <w:pStyle w:val="null3"/>
              <w:ind w:firstLine="640"/>
              <w:jc w:val="both"/>
            </w:pPr>
            <w:r>
              <w:rPr>
                <w:rFonts w:ascii="仿宋_GB2312" w:hAnsi="仿宋_GB2312" w:cs="仿宋_GB2312" w:eastAsia="仿宋_GB2312"/>
                <w:sz w:val="21"/>
                <w:b/>
              </w:rPr>
              <w:t>1、成果文件纸质版</w:t>
            </w:r>
          </w:p>
          <w:p>
            <w:pPr>
              <w:pStyle w:val="null3"/>
              <w:ind w:firstLine="400"/>
            </w:pPr>
            <w:r>
              <w:rPr>
                <w:rFonts w:ascii="仿宋_GB2312" w:hAnsi="仿宋_GB2312" w:cs="仿宋_GB2312" w:eastAsia="仿宋_GB2312"/>
                <w:sz w:val="21"/>
                <w:b/>
              </w:rPr>
              <w:t>纸质版版成果文件按A4规格印制；若有图纸，图纸一律按A3规格印制；所有纸质成果需装订成册。</w:t>
            </w:r>
          </w:p>
          <w:p>
            <w:pPr>
              <w:pStyle w:val="null3"/>
              <w:ind w:firstLine="400"/>
            </w:pPr>
            <w:r>
              <w:rPr>
                <w:rFonts w:ascii="仿宋_GB2312" w:hAnsi="仿宋_GB2312" w:cs="仿宋_GB2312" w:eastAsia="仿宋_GB2312"/>
                <w:sz w:val="21"/>
                <w:b/>
              </w:rPr>
              <w:t xml:space="preserve">  2、电子文件（一份）</w:t>
            </w:r>
          </w:p>
          <w:p>
            <w:pPr>
              <w:pStyle w:val="null3"/>
              <w:ind w:firstLine="400"/>
            </w:pPr>
            <w:r>
              <w:rPr>
                <w:rFonts w:ascii="仿宋_GB2312" w:hAnsi="仿宋_GB2312" w:cs="仿宋_GB2312" w:eastAsia="仿宋_GB2312"/>
                <w:sz w:val="21"/>
                <w:b/>
              </w:rPr>
              <w:t>提供完整的编制资料电子文件一套。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满足本项目所需人员配置要求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满足本项目所需设施设备要求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由甲方负责组织验收，或者邀请有关专家等进行验收，并填写政府采购项目验收报告单。验收须以合同、磋商文件及响应文件、澄清及国家相应的标准、规范等为依据。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自本项目合同签订后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提交初步成果文件后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提交最终成果文件并经验收合格后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一、供应商缴纳磋商保证金须备注项目名称、项目编号，并将缴纳凭证提交至代理公司换取保证金缴纳收据证明； 二、 评审标准： 1、针对性： （1）针对性强：方案能够完全切合本项目实际情况。 （2）具有一定的针对性：方案结构基本完 整，能切合本项实际情况，对项目关键环节及服务要求针对性较强。 （3）针对性一般：方案中多数内容能够切合本项目实际 情况，但存在至少一处不适用本项目实际的内容。 （4）缺乏针对性：方案描述不符合本项目实际情况，存在明显套用其他项 目方案的内容。 2、可实施性： （1）可实施性强：方案工作流程完善，实施步骤清晰，科学合理，可实施性强。 （2）具有 一定的可实施性：方案工作流程基本完善，能切合本项实际情况，可实施性较强。 （3）可实施性一般：方案中存在至少一处 表述模糊、难以执行或不够科学合理的内容。 （4）缺乏可实施性：方案内容空洞，工作流程不完善，实施标准、实施质量不 利于采购需求的实现，存在逻辑漏洞、常识错误或合理性差。 3、方案内容有缺项、漏项、未提供的得0分。三、中标供应商在领取中标通知书时，须提交纸质投标响应文件正本壹份、副本贰份，内容和通过电子化交易平台提交的投标响应文件一致；纸质投标文件正副本分别胶装成册，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供应商应提供非联合体投标书面声明；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非联合体投标书面声明.docx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供应商应授权合法的人员参加投标全过程，其中法定代表人直接参加投标的，须出具法定代表人身份证，并与营业执照上信息一致。法定代表人授权他人参加投标的，须提供法定代表人授权委托书。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成果交付期</w:t>
            </w:r>
          </w:p>
        </w:tc>
        <w:tc>
          <w:tcPr>
            <w:tcW w:type="dxa" w:w="3322"/>
          </w:tcPr>
          <w:p>
            <w:pPr>
              <w:pStyle w:val="null3"/>
            </w:pPr>
            <w:r>
              <w:rPr>
                <w:rFonts w:ascii="仿宋_GB2312" w:hAnsi="仿宋_GB2312" w:cs="仿宋_GB2312" w:eastAsia="仿宋_GB2312"/>
              </w:rPr>
              <w:t>45日历天</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磋商保证金.docx 服务内容及服务邀请应答表 中小企业声明函 商务应答表 其他证明材料.docx 响应文件封面 非联合体投标书面声明.docx 供应商应提交的相关资格证明材料.docx 残疾人福利性单位声明函 服务方案 标的清单 供应商需补充的其他内容.docx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响应文件内容符合招标文件要求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投标人应按招标文件约定交纳投标保证金</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提供2022年1月1日至今类似项目业绩，每提供一个得2分，满分10分。 评审依据：以响应文件中提供合同或中标通知书复印件加盖鲜章为准，未提供不得分。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1、拟派项目负责人具有水利相关 专业中级技术职称资格的得2分,具 有水利相关专业高级技术职称资格的得3分; 评审依据：以供应商提供 加盖公章的项目负责人职称证书复印件、身份证复印件及劳务合同为准，未提供不得分。 2、项目负责人2022年1月1日至今承担过类似项目业绩的，每提供1个得2分，本项最高得分2分。评审依据：以供应商提供加盖公章的项目合同或中标通知书复印件为准，未提供不得分。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拟派项目组成人员除项目负责人外具有水利相关专业中级及以上技术职称资格的，每配备1人得1分，最高得10分。 评审依据：以供应商提供加盖公章的人员职称证书复印件、身份证复印件及劳务合同为准，未提供不得分。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针对本项目提供完整、合理、详细的实施方案，内容包括： ①项目的规划编制实施方案；②服务措施；③工作进度安排。 二、评审标准： 1、完整性：方 案内容完整全面，对上述各项内容均有详细描述及说明得3分；每缺1项扣1分。 2、针对性：针对性强，得6分；具有一定的针对性，得4 分；针对性一般，得2分；缺乏针对性，得1分。 3、可实施性：可实施性强，得6分；具有一定的可实施性，得4分；可实施性一般，得2分；缺乏可实施性，得1分。 4、未提供的不得分。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针对本项目提供完整、合理、详细的服务方案，内容包括：①项目背景、现状、规划编制条件的认识和了解、分析与研究；②工作目标；③工作方法；④组织方案。 二、评审标准： 1、完整性：方案内容完整全面，对上述各项内容均有详细描述及说明得2分；每缺1项扣0.5分。 2、针对性：针对性强，得4分；具有一定的针对性，得2.5分；针对性一般，得1分；缺乏针对性，得0.5分。 3、可实施性：可实施性强，得4分；具有一定的可实施性，得2.5分；可实施性一般，得1分；缺乏可实施性，得0.5分。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针对本项目提供完整、合理、详细 质量保证措施，内容包含：①建立 质量控制体系；②内控制度：服务 质量监督考核办法、奖惩制定、问 责机制工作制度完备；③成果有质 量保障措施；④成果文件符合验收 要求。 二、评审标准： 1、完整性：方案内容完整 全面，对上述各项内容均有详细描 述及说明得2分；每缺1项扣0.5分 。 2、针对性：针对性强，得4分；具有一定的针对性，得2.5分； 针对性一般，得1分；缺乏针对性，得0.5分。 3、可实施性：可实施性强，得4分；具有一定的可实施性，得2.5分；可实施性一般，得1分；缺乏可实施性，得0.5分。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针对本项目提供完整、合理、详细 进度保证措施，内容包含：①工作 进度安排；②项目组织架构；③人 员配备分工；④实施过程中的保障 措施。 二、评审标准： 1、完整性：方案内容完整 全面，对上述各项内容均有详细描 述及说明得2分；每缺1项扣0.5分 。 2、针对性：针对性强，得4分 ；具有一定的针对性，得2.5分；针对性一般，得1分；缺乏针对性，得0.5分。 3、可实施性：可实施性强，得4分；具有一定的可实施性，得2.5分；可实施性一般，得1分；缺乏可实施性，得0.5分。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投标人对本项目提供应急预案，方案内容包含但不限于：① 开展服务过程中可能发生突发事件；②针对突发事件制定的应急预案； 二、评审标准： 1、完整性：方案内容完整全面，对上述各项内容均有详细描述及说明得2分；每缺1项扣1分。 2、针对性：针对性强，得3分；具有一定的针对性，得2分；针对性一般，得1分；缺乏针对性，得0.5分。 3、可实施性：可实施性强，得3分；具有一定的可实施性，得2分；可实施性一般，得1 分；缺乏可实施性，得0.5分。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针对本项目建设工作的重点、难点开展分析，内容包含：①重、难点分析及解决思路；②工作现状规划、工作重点方向。 二、评审标准： 1、完整性：方案内容完整全面，对上述各项内容均有详细描述及说明得1分；每缺1项扣0.5分。 2、针对性：针对性强，得3分；具有一定的针对性，得2分；针对性一般，得1分；缺乏针对性，得0.5分。 3、可实施性：可实施性强，得3分；具有一定的可实施性，得2分；可实施性一般，得1分；缺乏可实施性，得0.5分。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磋商报价得分=（磋商基准价/最终磋商报价）×价格权值（即15%）×100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详见附件：非联合体投标书面声明.docx</w:t>
      </w:r>
    </w:p>
    <w:p>
      <w:pPr>
        <w:pStyle w:val="null3"/>
        <w:ind w:firstLine="960"/>
      </w:pPr>
      <w:r>
        <w:rPr>
          <w:rFonts w:ascii="仿宋_GB2312" w:hAnsi="仿宋_GB2312" w:cs="仿宋_GB2312" w:eastAsia="仿宋_GB2312"/>
        </w:rPr>
        <w:t>详见附件：供应商需补充的其他内容.docx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