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版本号：GLD2025-061101Z20251030001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略阳县茂山陵园吊唁厅提升改造项目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GLD2025-061101Z</w:t>
      </w:r>
      <w:r>
        <w:br/>
      </w:r>
      <w:r>
        <w:br/>
      </w:r>
      <w:r>
        <w:br/>
      </w:r>
    </w:p>
    <w:p>
      <w:pPr>
        <w:pStyle w:val="null3"/>
        <w:jc w:val="center"/>
        <w:outlineLvl w:val="2"/>
      </w:pPr>
      <w:r>
        <w:rPr>
          <w:rFonts w:ascii="仿宋_GB2312" w:hAnsi="仿宋_GB2312" w:cs="仿宋_GB2312" w:eastAsia="仿宋_GB2312"/>
          <w:sz w:val="28"/>
          <w:b/>
        </w:rPr>
        <w:t>略阳县民政局</w:t>
      </w:r>
    </w:p>
    <w:p>
      <w:pPr>
        <w:pStyle w:val="null3"/>
        <w:jc w:val="center"/>
        <w:outlineLvl w:val="2"/>
      </w:pPr>
      <w:r>
        <w:rPr>
          <w:rFonts w:ascii="仿宋_GB2312" w:hAnsi="仿宋_GB2312" w:cs="仿宋_GB2312" w:eastAsia="仿宋_GB2312"/>
          <w:sz w:val="28"/>
          <w:b/>
        </w:rPr>
        <w:t>陕西广联达招标有限公司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陕西广联达招标有限公司</w:t>
      </w:r>
      <w:r>
        <w:rPr>
          <w:rFonts w:ascii="仿宋_GB2312" w:hAnsi="仿宋_GB2312" w:cs="仿宋_GB2312" w:eastAsia="仿宋_GB2312"/>
        </w:rPr>
        <w:t>（以下简称“代理机构”）受</w:t>
      </w:r>
      <w:r>
        <w:rPr>
          <w:rFonts w:ascii="仿宋_GB2312" w:hAnsi="仿宋_GB2312" w:cs="仿宋_GB2312" w:eastAsia="仿宋_GB2312"/>
        </w:rPr>
        <w:t>略阳县民政局</w:t>
      </w:r>
      <w:r>
        <w:rPr>
          <w:rFonts w:ascii="仿宋_GB2312" w:hAnsi="仿宋_GB2312" w:cs="仿宋_GB2312" w:eastAsia="仿宋_GB2312"/>
        </w:rPr>
        <w:t>委托，拟对</w:t>
      </w:r>
      <w:r>
        <w:rPr>
          <w:rFonts w:ascii="仿宋_GB2312" w:hAnsi="仿宋_GB2312" w:cs="仿宋_GB2312" w:eastAsia="仿宋_GB2312"/>
        </w:rPr>
        <w:t>略阳县茂山陵园吊唁厅提升改造项目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GLD2025-061101Z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略阳县茂山陵园吊唁厅提升改造项目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略阳县茂山陵园吊唁厅提升改造项目，该项目位于略阳县茂山陵园内，主要工作内容为：2#楼装修改造、3#装修改造、室外工程等。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采购包1（吊唁厅提升改造）：属于专门面向中小企业采购。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1、企业资质：供应商须具备建筑工程施工总承包三级以上（含三级）资质或建筑装修装饰工程专业承包二级以上（含二级）资质，具有有效的安全生产许可证。</w:t>
      </w:r>
    </w:p>
    <w:p>
      <w:pPr>
        <w:pStyle w:val="null3"/>
      </w:pPr>
      <w:r>
        <w:rPr>
          <w:rFonts w:ascii="仿宋_GB2312" w:hAnsi="仿宋_GB2312" w:cs="仿宋_GB2312" w:eastAsia="仿宋_GB2312"/>
        </w:rPr>
        <w:t>2、拟派项目负责人资质和专业要求：证书等级：注册建造师执业资格二级 以上（含二级） 专业：建筑工程 补充说明：同时具备有效的安全生产考核合格证书，且未担任其他在施建设工程项目的项目经理</w:t>
      </w:r>
    </w:p>
    <w:p>
      <w:pPr>
        <w:pStyle w:val="null3"/>
      </w:pPr>
      <w:r>
        <w:rPr>
          <w:rFonts w:ascii="仿宋_GB2312" w:hAnsi="仿宋_GB2312" w:cs="仿宋_GB2312" w:eastAsia="仿宋_GB2312"/>
        </w:rPr>
        <w:t>3、有效的主体资格证明：具有独立承担民事责任能力的法人、其他组织或自然人，并出具有效的营业执照或事业单位法人证书等国家规定的相关证明，自然人参与的提供其身份证明；</w:t>
      </w:r>
    </w:p>
    <w:p>
      <w:pPr>
        <w:pStyle w:val="null3"/>
      </w:pPr>
      <w:r>
        <w:rPr>
          <w:rFonts w:ascii="仿宋_GB2312" w:hAnsi="仿宋_GB2312" w:cs="仿宋_GB2312" w:eastAsia="仿宋_GB2312"/>
        </w:rPr>
        <w:t>4、法定代表人授权书/法定代表人身份证明：提供法定代表人授权书（附法定代表人、被授权人身份证复印件）（法定代表人直接参加投标， 提供法定代表人身份证明及身份证）</w:t>
      </w:r>
    </w:p>
    <w:p>
      <w:pPr>
        <w:pStyle w:val="null3"/>
      </w:pPr>
      <w:r>
        <w:rPr>
          <w:rFonts w:ascii="仿宋_GB2312" w:hAnsi="仿宋_GB2312" w:cs="仿宋_GB2312" w:eastAsia="仿宋_GB2312"/>
        </w:rPr>
        <w:t>5、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6、不接受联合体投标：不接受联合体投标，提供声明或承诺书。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陕西省略阳县狮凤路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尹昆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09164829540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陕西广联达招标有限公司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西安经济技术开发区明光路 55 号天朗经开中心6层605室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029-83666003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采购包1：486,766.58元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代理服务费收费标准：参照(计价格〔2002〕1980号)及国家发改委2011年颁布的《国家发展改革委关于降低部分建设项目收费标准规范收费行为等有关问题的通知 》（发改价格〔2011〕534号）标准及代理公司要求采用现金、转账或汇款方式向陕西广联达招标有限公司交纳招标服务费及造价咨询费。 名 称：陕西广联达招标有限公司 开户行：中国银行股份有限公司西安万寿路支行 账 号：1028 4964 6773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略阳县民政局</w:t>
      </w:r>
      <w:r>
        <w:rPr>
          <w:rFonts w:ascii="仿宋_GB2312" w:hAnsi="仿宋_GB2312" w:cs="仿宋_GB2312" w:eastAsia="仿宋_GB2312"/>
        </w:rPr>
        <w:t>和</w:t>
      </w:r>
      <w:r>
        <w:rPr>
          <w:rFonts w:ascii="仿宋_GB2312" w:hAnsi="仿宋_GB2312" w:cs="仿宋_GB2312" w:eastAsia="仿宋_GB2312"/>
        </w:rPr>
        <w:t>陕西广联达招标有限公司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陕西广联达招标有限公司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陕西广联达招标有限公司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联系人：吕工</w:t>
      </w:r>
    </w:p>
    <w:p>
      <w:pPr>
        <w:pStyle w:val="null3"/>
      </w:pPr>
      <w:r>
        <w:rPr>
          <w:rFonts w:ascii="仿宋_GB2312" w:hAnsi="仿宋_GB2312" w:cs="仿宋_GB2312" w:eastAsia="仿宋_GB2312"/>
        </w:rPr>
        <w:t>联系电话：029-83666003</w:t>
      </w:r>
    </w:p>
    <w:p>
      <w:pPr>
        <w:pStyle w:val="null3"/>
      </w:pPr>
      <w:r>
        <w:rPr>
          <w:rFonts w:ascii="仿宋_GB2312" w:hAnsi="仿宋_GB2312" w:cs="仿宋_GB2312" w:eastAsia="仿宋_GB2312"/>
        </w:rPr>
        <w:t>地址：西安经济技术开发区明光路 55 号天朗经开中心6层605室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486,766.58</w:t>
      </w:r>
    </w:p>
    <w:p>
      <w:pPr>
        <w:pStyle w:val="null3"/>
      </w:pPr>
      <w:r>
        <w:rPr>
          <w:rFonts w:ascii="仿宋_GB2312" w:hAnsi="仿宋_GB2312" w:cs="仿宋_GB2312" w:eastAsia="仿宋_GB2312"/>
        </w:rPr>
        <w:t>采购包最高限价（元）: 486,766.58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吊唁厅提升改造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486,766.58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标的名称：吊唁厅提升改造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具体内容详见附件工程量清单（电子招标书）。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供应商须具备建筑工程施工总承包三级以上（含三级）资质或建筑装修装饰工程专业承包二级以上（含二级）资质，具有有效的安全生产许可证。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证书等级：注册建造师执业资格二级 以上（含二级） 专业：建筑工程 补充说明：同时具备有效的安全生产考核合格证书，且未担任其他在施建设工程项目的项目经理</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 提供法定代表人身份证明及身份证）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响应函 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不接受联合体投标，提供声明或承诺书。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汉中市政府采购供应商资格承诺函.docx 强制优先采购产品承诺函 法定代表人授权书.docx 响应文件封面 项目管理机构组成表 施工方案.docx 报价函 标的清单 供应商类似项目业绩一览表 响应函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应满足磋商文件规定</w:t>
            </w:r>
          </w:p>
        </w:tc>
        <w:tc>
          <w:tcPr>
            <w:tcW w:type="dxa" w:w="1661"/>
          </w:tcPr>
          <w:p>
            <w:pPr>
              <w:pStyle w:val="null3"/>
            </w:pPr>
            <w:r>
              <w:rPr>
                <w:rFonts w:ascii="仿宋_GB2312" w:hAnsi="仿宋_GB2312" w:cs="仿宋_GB2312" w:eastAsia="仿宋_GB2312"/>
              </w:rPr>
              <w:t>已标价工程量清单 项目管理机构组成表 中小企业声明函 报价函 技术服务合同条款及其他商务要求应答表 供应商应提交的相关资格证明材料 标的清单 响应函 主要人员简历表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1、施工方案详细、合理可行：（4 - 6)分； 2、施工方案基本全面，合理性、可行性一般：（2-4)分； 3 、施工方案不完整，不合理：（0-2)分。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1、人员配备合理，完全满足工作 要求：（4-6）分； 2、人员配备较合理，基本满足工作要求：（2-4）分 ; 3、人员配备不满足要求：（0-2)分。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 量的技术组织措施</w:t>
            </w:r>
          </w:p>
        </w:tc>
        <w:tc>
          <w:tcPr>
            <w:tcW w:type="dxa" w:w="2492"/>
          </w:tcPr>
          <w:p>
            <w:pPr>
              <w:pStyle w:val="null3"/>
            </w:pPr>
            <w:r>
              <w:rPr>
                <w:rFonts w:ascii="仿宋_GB2312" w:hAnsi="仿宋_GB2312" w:cs="仿宋_GB2312" w:eastAsia="仿宋_GB2312"/>
              </w:rPr>
              <w:t>1、措施合理，可行性强：（4-6）分； 2、措施较合理，可行性较强 ： ( 2-4）分； 3、措施不合理，可行性较差：（0-2）分。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确保安全生 产的技术组织措施</w:t>
            </w:r>
          </w:p>
        </w:tc>
        <w:tc>
          <w:tcPr>
            <w:tcW w:type="dxa" w:w="2492"/>
          </w:tcPr>
          <w:p>
            <w:pPr>
              <w:pStyle w:val="null3"/>
            </w:pPr>
            <w:r>
              <w:rPr>
                <w:rFonts w:ascii="仿宋_GB2312" w:hAnsi="仿宋_GB2312" w:cs="仿宋_GB2312" w:eastAsia="仿宋_GB2312"/>
              </w:rPr>
              <w:t>1、措施合理，可行性强：（4-6）分； 2、措施较合理，可行性较强 ： ( 2-4）分； 3、措施不合理，可行性较差：（0-2）分。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确保文明施工的技术措 施及环境保护措施</w:t>
            </w:r>
          </w:p>
        </w:tc>
        <w:tc>
          <w:tcPr>
            <w:tcW w:type="dxa" w:w="2492"/>
          </w:tcPr>
          <w:p>
            <w:pPr>
              <w:pStyle w:val="null3"/>
            </w:pPr>
            <w:r>
              <w:rPr>
                <w:rFonts w:ascii="仿宋_GB2312" w:hAnsi="仿宋_GB2312" w:cs="仿宋_GB2312" w:eastAsia="仿宋_GB2312"/>
              </w:rPr>
              <w:t>1、措施合理，可行性强：（4-6）分； 2、措施较合理，可行性较强 ： ( 2-4）分； 3、措施不合理，可行性较差：（0-2）分。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确保工期的 技术组织措 施</w:t>
            </w:r>
          </w:p>
        </w:tc>
        <w:tc>
          <w:tcPr>
            <w:tcW w:type="dxa" w:w="2492"/>
          </w:tcPr>
          <w:p>
            <w:pPr>
              <w:pStyle w:val="null3"/>
            </w:pPr>
            <w:r>
              <w:rPr>
                <w:rFonts w:ascii="仿宋_GB2312" w:hAnsi="仿宋_GB2312" w:cs="仿宋_GB2312" w:eastAsia="仿宋_GB2312"/>
              </w:rPr>
              <w:t>1、措施合理，可行性强：（4-6）分； 2、措施较合理，可行性较强 ： ( 2-4）分； 3、措施不合理，可行性较差：（0-2）分。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施工机械设备配备计划和劳动力安排计划</w:t>
            </w:r>
          </w:p>
        </w:tc>
        <w:tc>
          <w:tcPr>
            <w:tcW w:type="dxa" w:w="2492"/>
          </w:tcPr>
          <w:p>
            <w:pPr>
              <w:pStyle w:val="null3"/>
            </w:pPr>
            <w:r>
              <w:rPr>
                <w:rFonts w:ascii="仿宋_GB2312" w:hAnsi="仿宋_GB2312" w:cs="仿宋_GB2312" w:eastAsia="仿宋_GB2312"/>
              </w:rPr>
              <w:t>1、劳动力安排及机械设备投入合理、可行：（4-6）分； 2、劳动力 安排 及机械设备投入基本合理可行 ：（2-4）分； 3、劳动力安排及机械设备 投入不合理、有缺漏：（0-2）分。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施工进度表 或施工网络图</w:t>
            </w:r>
          </w:p>
        </w:tc>
        <w:tc>
          <w:tcPr>
            <w:tcW w:type="dxa" w:w="2492"/>
          </w:tcPr>
          <w:p>
            <w:pPr>
              <w:pStyle w:val="null3"/>
            </w:pPr>
            <w:r>
              <w:rPr>
                <w:rFonts w:ascii="仿宋_GB2312" w:hAnsi="仿宋_GB2312" w:cs="仿宋_GB2312" w:eastAsia="仿宋_GB2312"/>
              </w:rPr>
              <w:t>1、科学合理，可行性强：（4-6）分； 2、较合理，可行性较强：（2- 4 ) 分； 3、不合理，可行性较差：（0-2）分。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施工现场总平面布置图</w:t>
            </w:r>
          </w:p>
        </w:tc>
        <w:tc>
          <w:tcPr>
            <w:tcW w:type="dxa" w:w="2492"/>
          </w:tcPr>
          <w:p>
            <w:pPr>
              <w:pStyle w:val="null3"/>
            </w:pPr>
            <w:r>
              <w:rPr>
                <w:rFonts w:ascii="仿宋_GB2312" w:hAnsi="仿宋_GB2312" w:cs="仿宋_GB2312" w:eastAsia="仿宋_GB2312"/>
              </w:rPr>
              <w:t>1、布置合理，可行性强：（4-6] 分； 2、布置较合理，可行性较强 ：[2- 4]分； 3、布置不合理，可行性较差：[0-2）分。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新技术、新 设备、新工 艺、新材料 应用</w:t>
            </w:r>
          </w:p>
        </w:tc>
        <w:tc>
          <w:tcPr>
            <w:tcW w:type="dxa" w:w="2492"/>
          </w:tcPr>
          <w:p>
            <w:pPr>
              <w:pStyle w:val="null3"/>
            </w:pPr>
            <w:r>
              <w:rPr>
                <w:rFonts w:ascii="仿宋_GB2312" w:hAnsi="仿宋_GB2312" w:cs="仿宋_GB2312" w:eastAsia="仿宋_GB2312"/>
              </w:rPr>
              <w:t>1、科学合理，可行性强：（4-6）分； 2、较合理，可行性较强：（2- 4 ) 分； 3、不合理，可行性较差：（0-2）分。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提供2022年1月1日以后(以合同签订日期为准)类似项目合同,每提供一个得2.5分，最高得10分。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施工方案.docx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价格分采用低价优先法计算，即满足磋商文件要求且投标价格最低的投标报价为评审基准价，其价格分为满分30分。其他投标人的价格分统一 按照下列 公式计算：投标报价得分 =（评审基准价/磋商报价） ×价格权值×100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