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版本号：zchz-zb-2025-29号20251114001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汉中市略阳县2025年核桃提质增效改造项目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zchz-zb-2025-29号</w:t>
      </w:r>
      <w:r>
        <w:br/>
      </w:r>
      <w:r>
        <w:br/>
      </w:r>
      <w:r>
        <w:br/>
      </w:r>
    </w:p>
    <w:p>
      <w:pPr>
        <w:pStyle w:val="null3"/>
        <w:jc w:val="center"/>
        <w:outlineLvl w:val="2"/>
      </w:pPr>
      <w:r>
        <w:rPr>
          <w:rFonts w:ascii="仿宋_GB2312" w:hAnsi="仿宋_GB2312" w:cs="仿宋_GB2312" w:eastAsia="仿宋_GB2312"/>
          <w:sz w:val="28"/>
          <w:b/>
        </w:rPr>
        <w:t>略阳县秦岭生态保护中心</w:t>
      </w:r>
    </w:p>
    <w:p>
      <w:pPr>
        <w:pStyle w:val="null3"/>
        <w:jc w:val="center"/>
        <w:outlineLvl w:val="2"/>
      </w:pPr>
      <w:r>
        <w:rPr>
          <w:rFonts w:ascii="仿宋_GB2312" w:hAnsi="仿宋_GB2312" w:cs="仿宋_GB2312" w:eastAsia="仿宋_GB2312"/>
          <w:sz w:val="28"/>
          <w:b/>
        </w:rPr>
        <w:t>中创名建工程管理集团有限公司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中创名建工程管理集团有限公司</w:t>
      </w:r>
      <w:r>
        <w:rPr>
          <w:rFonts w:ascii="仿宋_GB2312" w:hAnsi="仿宋_GB2312" w:cs="仿宋_GB2312" w:eastAsia="仿宋_GB2312"/>
        </w:rPr>
        <w:t>（以下简称“代理机构”）受</w:t>
      </w:r>
      <w:r>
        <w:rPr>
          <w:rFonts w:ascii="仿宋_GB2312" w:hAnsi="仿宋_GB2312" w:cs="仿宋_GB2312" w:eastAsia="仿宋_GB2312"/>
        </w:rPr>
        <w:t>略阳县秦岭生态保护中心</w:t>
      </w:r>
      <w:r>
        <w:rPr>
          <w:rFonts w:ascii="仿宋_GB2312" w:hAnsi="仿宋_GB2312" w:cs="仿宋_GB2312" w:eastAsia="仿宋_GB2312"/>
        </w:rPr>
        <w:t>委托，拟对</w:t>
      </w:r>
      <w:r>
        <w:rPr>
          <w:rFonts w:ascii="仿宋_GB2312" w:hAnsi="仿宋_GB2312" w:cs="仿宋_GB2312" w:eastAsia="仿宋_GB2312"/>
        </w:rPr>
        <w:t>汉中市略阳县2025年核桃提质增效改造项目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zchz-zb-2025-29号</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汉中市略阳县2025年核桃提质增效改造项目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该项目计划在徐家坪镇刘家庄村、白水江镇甘溪沟村、横现河街道跑马村、老虎坪村，接官亭镇接官亭社区等4个镇5个村（社区）完成核桃低产低效改造1000亩，其中：徐家坪镇刘家庄村343亩，白水江镇甘溪沟村127亩，横现河街道跑马村300亩、老虎坪村50亩，接官亭镇接官亭社区180亩。</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采购包1（汉中市略阳县2025年核桃提质增效改造项目）：属于专门面向中小企业采购。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2、法定代表人证明书及授权书：法定代表人授权委托书（附法定代表人身份证复印件）及被授权委托人身份证（法定代表人参加投标须提供法定代表人身份证及法人身份证明）；</w:t>
      </w:r>
    </w:p>
    <w:p>
      <w:pPr>
        <w:pStyle w:val="null3"/>
      </w:pPr>
      <w:r>
        <w:rPr>
          <w:rFonts w:ascii="仿宋_GB2312" w:hAnsi="仿宋_GB2312" w:cs="仿宋_GB2312" w:eastAsia="仿宋_GB2312"/>
        </w:rPr>
        <w:t>3、信誉要求：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p>
      <w:pPr>
        <w:pStyle w:val="null3"/>
      </w:pPr>
      <w:r>
        <w:rPr>
          <w:rFonts w:ascii="仿宋_GB2312" w:hAnsi="仿宋_GB2312" w:cs="仿宋_GB2312" w:eastAsia="仿宋_GB2312"/>
        </w:rPr>
        <w:t>4、是否面向中、小企业：本项目为专门面向中小企业项目，预留份额为整体预留，供应商须填写《中小企业声明函》；</w:t>
      </w:r>
    </w:p>
    <w:p>
      <w:pPr>
        <w:pStyle w:val="null3"/>
      </w:pPr>
      <w:r>
        <w:rPr>
          <w:rFonts w:ascii="仿宋_GB2312" w:hAnsi="仿宋_GB2312" w:cs="仿宋_GB2312" w:eastAsia="仿宋_GB2312"/>
        </w:rPr>
        <w:t>5、其他要求：本项目不接受联合体投标，供应商需提供非联合体书面声明。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略阳县秦岭生态保护中心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略阳县县城水灵路林业局</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略阳县秦岭生态保护中心经办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17709169786</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中创名建工程管理集团有限公司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陕西省汉中市汉台区北一环路友谊公司院内二楼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周女士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19992619393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缴交渠道：转账、支票、汇票等（需通过实体账户、户名及开户行信息）</w:t>
            </w:r>
          </w:p>
          <w:p>
            <w:pPr>
              <w:pStyle w:val="null3"/>
            </w:pPr>
            <w:r>
              <w:rPr>
                <w:rFonts w:ascii="仿宋_GB2312" w:hAnsi="仿宋_GB2312" w:cs="仿宋_GB2312" w:eastAsia="仿宋_GB2312"/>
              </w:rPr>
              <w:t>开户名称：中创名建工程管理集团有限公司汉中汉台分公司</w:t>
            </w:r>
          </w:p>
          <w:p>
            <w:pPr>
              <w:pStyle w:val="null3"/>
            </w:pPr>
            <w:r>
              <w:rPr>
                <w:rFonts w:ascii="仿宋_GB2312" w:hAnsi="仿宋_GB2312" w:cs="仿宋_GB2312" w:eastAsia="仿宋_GB2312"/>
              </w:rPr>
              <w:t>开户银行：中国工商银行汉中广场支行</w:t>
            </w:r>
          </w:p>
          <w:p>
            <w:pPr>
              <w:pStyle w:val="null3"/>
            </w:pPr>
            <w:r>
              <w:rPr>
                <w:rFonts w:ascii="仿宋_GB2312" w:hAnsi="仿宋_GB2312" w:cs="仿宋_GB2312" w:eastAsia="仿宋_GB2312"/>
              </w:rPr>
              <w:t>银行账号：2606 0540 1920 0057 777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代理服务费收费标准：参照国家计委计价格【2002】1980 号规定计取（不足3000元的，统一按3000元收取）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略阳县秦岭生态保护中心</w:t>
      </w:r>
      <w:r>
        <w:rPr>
          <w:rFonts w:ascii="仿宋_GB2312" w:hAnsi="仿宋_GB2312" w:cs="仿宋_GB2312" w:eastAsia="仿宋_GB2312"/>
        </w:rPr>
        <w:t>和</w:t>
      </w:r>
      <w:r>
        <w:rPr>
          <w:rFonts w:ascii="仿宋_GB2312" w:hAnsi="仿宋_GB2312" w:cs="仿宋_GB2312" w:eastAsia="仿宋_GB2312"/>
        </w:rPr>
        <w:t>中创名建工程管理集团有限公司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略阳县秦岭生态保护中心</w:t>
      </w:r>
      <w:r>
        <w:rPr>
          <w:rFonts w:ascii="仿宋_GB2312" w:hAnsi="仿宋_GB2312" w:cs="仿宋_GB2312" w:eastAsia="仿宋_GB2312"/>
        </w:rPr>
        <w:t>负责解释。除上述磋商文件内容，其他内容由</w:t>
      </w:r>
      <w:r>
        <w:rPr>
          <w:rFonts w:ascii="仿宋_GB2312" w:hAnsi="仿宋_GB2312" w:cs="仿宋_GB2312" w:eastAsia="仿宋_GB2312"/>
        </w:rPr>
        <w:t>中创名建工程管理集团有限公司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略阳县秦岭生态保护中心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中创名建工程管理集团有限公司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中创名建工程管理集团有限公司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联系人：周女士</w:t>
      </w:r>
    </w:p>
    <w:p>
      <w:pPr>
        <w:pStyle w:val="null3"/>
      </w:pPr>
      <w:r>
        <w:rPr>
          <w:rFonts w:ascii="仿宋_GB2312" w:hAnsi="仿宋_GB2312" w:cs="仿宋_GB2312" w:eastAsia="仿宋_GB2312"/>
        </w:rPr>
        <w:t>联系电话：19992619393</w:t>
      </w:r>
    </w:p>
    <w:p>
      <w:pPr>
        <w:pStyle w:val="null3"/>
      </w:pPr>
      <w:r>
        <w:rPr>
          <w:rFonts w:ascii="仿宋_GB2312" w:hAnsi="仿宋_GB2312" w:cs="仿宋_GB2312" w:eastAsia="仿宋_GB2312"/>
        </w:rPr>
        <w:t>地址：陕西省汉中市汉台区北一环路友谊公司院内二楼</w:t>
      </w:r>
    </w:p>
    <w:p>
      <w:pPr>
        <w:pStyle w:val="null3"/>
      </w:pPr>
      <w:r>
        <w:rPr>
          <w:rFonts w:ascii="仿宋_GB2312" w:hAnsi="仿宋_GB2312" w:cs="仿宋_GB2312" w:eastAsia="仿宋_GB2312"/>
        </w:rPr>
        <w:t>邮编：723000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该项目计划在徐家坪镇刘家庄村、白水江镇甘溪沟村、横现河街道跑马村、老虎坪村，接官亭镇接官亭社区等4个镇5个村（社区）完成核桃低产低效改造1000亩，其中：徐家坪镇刘家庄村343亩，白水江镇甘溪沟村127亩，横现河街道跑马村300亩、老虎坪村50亩，接官亭镇接官亭社区180亩。</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汉中市略阳县2025年核桃提质增效改造项目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农、林、牧、渔业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标的名称：汉中市略阳县2025年核桃提质增效改造项目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75"/>
              <w:gridCol w:w="893"/>
              <w:gridCol w:w="456"/>
              <w:gridCol w:w="456"/>
              <w:gridCol w:w="474"/>
            </w:tblGrid>
            <w:tr>
              <w:tc>
                <w:tcPr>
                  <w:tcW w:type="dxa" w:w="27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序号</w:t>
                  </w:r>
                </w:p>
              </w:tc>
              <w:tc>
                <w:tcPr>
                  <w:tcW w:type="dxa" w:w="89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采购内容</w:t>
                  </w:r>
                </w:p>
              </w:tc>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单位</w:t>
                  </w:r>
                </w:p>
              </w:tc>
              <w:tc>
                <w:tcPr>
                  <w:tcW w:type="dxa" w:w="45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数量</w:t>
                  </w:r>
                </w:p>
              </w:tc>
              <w:tc>
                <w:tcPr>
                  <w:tcW w:type="dxa" w:w="47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要求</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物料</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核桃专用复合肥</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kg</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50000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满足国家对有毒有害物质的限量要求；取得肥料登记证</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1.2</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林木长效保护剂</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kg</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5000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取得农药登记证（若针对其防虫、防腐功能）；质量、性能、环保、使用规范需满足国家标准</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1.3</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农药</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kg</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500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取得农药登记证号、生产许可证号（或核准号）、产品标准号</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1.4</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粘虫板</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张</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25000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粘虫板材质不能对环境产生负面影响</w:t>
                  </w: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1.5</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其他有利于核桃提质增效的物料供应商可自行填写</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人工</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核桃园割灌除草</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亩</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2.2</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扩盘施肥</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亩</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2.3</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核桃树整形修剪</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亩</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2.4</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病虫害防治</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亩</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1000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其他有利于核桃提质增效的人工服务方案供应商可自行填写</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辅助工具</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修枝剪、锯子</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250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3.2</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电动喷雾器</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台</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10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3.3</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宣传牌</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个</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2</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3.6</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其他有利于核桃提质增效的辅助工具供应商可自行填写</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技术培训</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4.1</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技术培训</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人次</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50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4.2</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发放培训资料</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套</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400</w:t>
                  </w: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27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4.3</w:t>
                  </w:r>
                </w:p>
              </w:tc>
              <w:tc>
                <w:tcPr>
                  <w:tcW w:type="dxa" w:w="8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color w:val="000000"/>
                    </w:rPr>
                    <w:t>其他有利于核桃提质增效的技术培训、资料宣传等供应商可自行填写。也可提高培训人次、培训资料数量</w:t>
                  </w: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45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47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30日历天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略阳县境内</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遵照国家有关规定和最终合同约定执行。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非联合体书面声明.docx 商务应答表 服务方案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主体资格证明文件.docx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法定代表人证明书及授权书</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法定代表人授权委托书（附法定代表人身份证复印件）及被授权委托人身份证（法定代表人参加投标须提供法定代表人身份证及法人身份证明）；</w:t>
            </w:r>
          </w:p>
        </w:tc>
        <w:tc>
          <w:tcPr>
            <w:tcW w:type="dxa" w:w="1661"/>
          </w:tcPr>
          <w:p>
            <w:pPr>
              <w:pStyle w:val="null3"/>
            </w:pPr>
            <w:r>
              <w:rPr>
                <w:rFonts w:ascii="仿宋_GB2312" w:hAnsi="仿宋_GB2312" w:cs="仿宋_GB2312" w:eastAsia="仿宋_GB2312"/>
              </w:rPr>
              <w:t>法定代表人证明书及授权书.docx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须具有健全的财务会计制度、具有履行合同所必需的设备和专业技术能力、具有依法缴纳税收和社会保障资金的良好记录，参加本项目采购活动前三年内在经营活动中无重大违法活动记录，未列入在信用中国网站“失信被执行人”、“重大税收违法案件当事人名单”中(www.creditchina.gov.cn)，未列入中国政府采购网“政府采购严重违法失信行为记录名单”中（www.ccgp.gov.cn），供应商需提供加盖公章的《汉中市政府采购供应商资格承诺函》。</w:t>
            </w:r>
          </w:p>
        </w:tc>
        <w:tc>
          <w:tcPr>
            <w:tcW w:type="dxa" w:w="1661"/>
          </w:tcPr>
          <w:p>
            <w:pPr>
              <w:pStyle w:val="null3"/>
            </w:pPr>
            <w:r>
              <w:rPr>
                <w:rFonts w:ascii="仿宋_GB2312" w:hAnsi="仿宋_GB2312" w:cs="仿宋_GB2312" w:eastAsia="仿宋_GB2312"/>
              </w:rPr>
              <w:t>汉中市政府采购供应商资格承诺函.docx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是否面向中、小企业</w:t>
            </w:r>
          </w:p>
        </w:tc>
        <w:tc>
          <w:tcPr>
            <w:tcW w:type="dxa" w:w="3322"/>
          </w:tcPr>
          <w:p>
            <w:pPr>
              <w:pStyle w:val="null3"/>
            </w:pPr>
            <w:r>
              <w:rPr>
                <w:rFonts w:ascii="仿宋_GB2312" w:hAnsi="仿宋_GB2312" w:cs="仿宋_GB2312" w:eastAsia="仿宋_GB2312"/>
              </w:rPr>
              <w:t>本项目为专门面向中小企业项目，预留份额为整体预留，供应商须填写《中小企业声明函》；</w:t>
            </w:r>
          </w:p>
        </w:tc>
        <w:tc>
          <w:tcPr>
            <w:tcW w:type="dxa" w:w="1661"/>
          </w:tcPr>
          <w:p>
            <w:pPr>
              <w:pStyle w:val="null3"/>
            </w:pPr>
            <w:r>
              <w:rPr>
                <w:rFonts w:ascii="仿宋_GB2312" w:hAnsi="仿宋_GB2312" w:cs="仿宋_GB2312" w:eastAsia="仿宋_GB2312"/>
              </w:rPr>
              <w:t>中小企业声明函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本项目不接受联合体投标，供应商需提供非联合体书面声明。</w:t>
            </w:r>
          </w:p>
        </w:tc>
        <w:tc>
          <w:tcPr>
            <w:tcW w:type="dxa" w:w="1661"/>
          </w:tcPr>
          <w:p>
            <w:pPr>
              <w:pStyle w:val="null3"/>
            </w:pPr>
            <w:r>
              <w:rPr>
                <w:rFonts w:ascii="仿宋_GB2312" w:hAnsi="仿宋_GB2312" w:cs="仿宋_GB2312" w:eastAsia="仿宋_GB2312"/>
              </w:rPr>
              <w:t>非联合体书面声明.docx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响应文件应按照竞争性磋商文件要求签署、盖章</w:t>
            </w:r>
          </w:p>
        </w:tc>
        <w:tc>
          <w:tcPr>
            <w:tcW w:type="dxa" w:w="1661"/>
          </w:tcPr>
          <w:p>
            <w:pPr>
              <w:pStyle w:val="null3"/>
            </w:pPr>
            <w:r>
              <w:rPr>
                <w:rFonts w:ascii="仿宋_GB2312" w:hAnsi="仿宋_GB2312" w:cs="仿宋_GB2312" w:eastAsia="仿宋_GB2312"/>
              </w:rPr>
              <w:t>非联合体书面声明.docx 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报价是否超过竞争性磋商文件中规定的预算金额或者最高限价</w:t>
            </w:r>
          </w:p>
        </w:tc>
        <w:tc>
          <w:tcPr>
            <w:tcW w:type="dxa" w:w="3322"/>
          </w:tcPr>
          <w:p>
            <w:pPr>
              <w:pStyle w:val="null3"/>
            </w:pPr>
            <w:r>
              <w:rPr>
                <w:rFonts w:ascii="仿宋_GB2312" w:hAnsi="仿宋_GB2312" w:cs="仿宋_GB2312" w:eastAsia="仿宋_GB2312"/>
              </w:rPr>
              <w:t>报价未超过竞争性磋商文件中规定的最高限价的</w:t>
            </w:r>
          </w:p>
        </w:tc>
        <w:tc>
          <w:tcPr>
            <w:tcW w:type="dxa" w:w="1661"/>
          </w:tcPr>
          <w:p>
            <w:pPr>
              <w:pStyle w:val="null3"/>
            </w:pPr>
            <w:r>
              <w:rPr>
                <w:rFonts w:ascii="仿宋_GB2312" w:hAnsi="仿宋_GB2312" w:cs="仿宋_GB2312" w:eastAsia="仿宋_GB2312"/>
              </w:rPr>
              <w:t>非联合体书面声明.docx 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非联合体书面声明.docx 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合同履行期限</w:t>
            </w:r>
          </w:p>
        </w:tc>
        <w:tc>
          <w:tcPr>
            <w:tcW w:type="dxa" w:w="3322"/>
          </w:tcPr>
          <w:p>
            <w:pPr>
              <w:pStyle w:val="null3"/>
            </w:pPr>
            <w:r>
              <w:rPr>
                <w:rFonts w:ascii="仿宋_GB2312" w:hAnsi="仿宋_GB2312" w:cs="仿宋_GB2312" w:eastAsia="仿宋_GB2312"/>
              </w:rPr>
              <w:t>未超过响应文件规定工期</w:t>
            </w:r>
          </w:p>
        </w:tc>
        <w:tc>
          <w:tcPr>
            <w:tcW w:type="dxa" w:w="1661"/>
          </w:tcPr>
          <w:p>
            <w:pPr>
              <w:pStyle w:val="null3"/>
            </w:pPr>
            <w:r>
              <w:rPr>
                <w:rFonts w:ascii="仿宋_GB2312" w:hAnsi="仿宋_GB2312" w:cs="仿宋_GB2312" w:eastAsia="仿宋_GB2312"/>
              </w:rPr>
              <w:t>非联合体书面声明.docx 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完全响应响应文件质量要求</w:t>
            </w:r>
          </w:p>
        </w:tc>
        <w:tc>
          <w:tcPr>
            <w:tcW w:type="dxa" w:w="1661"/>
          </w:tcPr>
          <w:p>
            <w:pPr>
              <w:pStyle w:val="null3"/>
            </w:pPr>
            <w:r>
              <w:rPr>
                <w:rFonts w:ascii="仿宋_GB2312" w:hAnsi="仿宋_GB2312" w:cs="仿宋_GB2312" w:eastAsia="仿宋_GB2312"/>
              </w:rPr>
              <w:t>非联合体书面声明.docx 服务内容及服务邀请应答表 主体资格证明文件.docx 中小企业声明函 商务应答表 报价表 汉中市政府采购供应商资格承诺函.docx 响应文件封面 残疾人福利性单位声明函 法定代表人证明书及授权书.docx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①服务方案 ②进度计划 ③应急预案 ④服务保障措施 上述4项指标内容完整、清楚明了、表述规范、含义准确，完全满足采购文件要求的得36分，每缺失一项指标扣9分，①②③④内容每有1处不完整或有缺陷或与项目不匹配的扣1分，每一项方系最多扣9分，扣完为止。 注:内容不完整或有缺陷或与项目不匹配是指非专门针对本项目或不适用项目特性的情形、内容不明确、表述不清晰或不完善或过于简陋、缺少关键节点说明或说明不详细、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36.0000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质量保障及措施</w:t>
            </w:r>
          </w:p>
        </w:tc>
        <w:tc>
          <w:tcPr>
            <w:tcW w:type="dxa" w:w="2492"/>
          </w:tcPr>
          <w:p>
            <w:pPr>
              <w:pStyle w:val="null3"/>
            </w:pPr>
            <w:r>
              <w:rPr>
                <w:rFonts w:ascii="仿宋_GB2312" w:hAnsi="仿宋_GB2312" w:cs="仿宋_GB2312" w:eastAsia="仿宋_GB2312"/>
              </w:rPr>
              <w:t>①质量保障方案 ②应急预案 ③质量保障措施 上述3项内容完整、清楚明了、表述规范、含义推确，满足采购文件要求的得21分，每缺失一项指标扣7分，①②③内容每有1处不完整或有缺陷或与项目不匹配的扣1分，每一项方案最多扣7分，扣完为止。 注:内容不完整或有缺陷或与项目不匹配是指非专门针对本项目或不适用项目特性的情形、内容不明确、表述不清晰或不完善或过于简陋、缺少关键节点说明或说明不详细、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21.0000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后续管护方案及承诺</w:t>
            </w:r>
          </w:p>
        </w:tc>
        <w:tc>
          <w:tcPr>
            <w:tcW w:type="dxa" w:w="2492"/>
          </w:tcPr>
          <w:p>
            <w:pPr>
              <w:pStyle w:val="null3"/>
            </w:pPr>
            <w:r>
              <w:rPr>
                <w:rFonts w:ascii="仿宋_GB2312" w:hAnsi="仿宋_GB2312" w:cs="仿宋_GB2312" w:eastAsia="仿宋_GB2312"/>
              </w:rPr>
              <w:t>①后续管护方案 ②管护承诺及措施 上述2项内容均提供了详尽描述的得满分12分;针对上述2项内容每有一个缺项扣6分，①②内容每有1处不完整或有缺陷或与项目不匹配的扣1分，每一项方案最多扣6分，分数扣完为止。 注:内容不完整或有缺陷或与项目不匹配是指非专门针对本项目或不适用项目特性的情形、内容不明确、表述不清晰或不完善或过于简陋、缺少关键节点说明或说明不详细、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服务承诺及违约服务</w:t>
            </w:r>
          </w:p>
        </w:tc>
        <w:tc>
          <w:tcPr>
            <w:tcW w:type="dxa" w:w="2492"/>
          </w:tcPr>
          <w:p>
            <w:pPr>
              <w:pStyle w:val="null3"/>
            </w:pPr>
            <w:r>
              <w:rPr>
                <w:rFonts w:ascii="仿宋_GB2312" w:hAnsi="仿宋_GB2312" w:cs="仿宋_GB2312" w:eastAsia="仿宋_GB2312"/>
              </w:rPr>
              <w:t>①服务承诺 ②具体的违约责任承诺 上述2项内容均提供了详尽描述的得满分12分;针对上述2项内容，每有一个缺项扣6分;①②内容每有1处不完整或有缺陷或与项目不匹配的扣1分，每一项方案最多扣6分，扣完为止。注:内容不完整或有缺陷或与项目不匹配是指非专门针对本项目或不适用项目特性的情形、内客不明确、表述不清晰或不完善或过于简陋、缺少关键节点说明或说明不详细、套用其他顶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项目服务人员</w:t>
            </w:r>
          </w:p>
        </w:tc>
        <w:tc>
          <w:tcPr>
            <w:tcW w:type="dxa" w:w="2492"/>
          </w:tcPr>
          <w:p>
            <w:pPr>
              <w:pStyle w:val="null3"/>
            </w:pPr>
            <w:r>
              <w:rPr>
                <w:rFonts w:ascii="仿宋_GB2312" w:hAnsi="仿宋_GB2312" w:cs="仿宋_GB2312" w:eastAsia="仿宋_GB2312"/>
              </w:rPr>
              <w:t>项目服务人员配置针对项目实际且合理，能满足项目需要的得4分。人员配置每有1处不完整或有缺陷或与项目不匹配可扣1分，分数扣完为止。 注:不完整或有缺陷或与项目不匹配是指非专门针对本项目或不适用项目特性的情形、内容不明确、表述不清晰或不完善或过于简陋、缺少关键节点说明或说明不详细、套用其他项目方案、内容前后矛盾、涉及的规范及标准错误、不利于项目实施、不可能实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供应商提供2022年1月至今的类似业绩证明(每提供一份得1分),最高得5分(需提供中标通知书或合同复印件，业绩时间以签订施工合同时间为准)，未提供得0分。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1、上限为采购预算价，即报价大于上限价视为无效标； 2、满足磋商文件要求且投标价格最低的投标报价为评标基准价，其价格分为满分。其他磋商供应商的价格分统一按照下列公式计算：磋商报价 得分=（评标基准价/磋商报价）×10%×100。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详见附件：主体资格证明文件.docx</w:t>
      </w:r>
    </w:p>
    <w:p>
      <w:pPr>
        <w:pStyle w:val="null3"/>
        <w:ind w:firstLine="960"/>
      </w:pPr>
      <w:r>
        <w:rPr>
          <w:rFonts w:ascii="仿宋_GB2312" w:hAnsi="仿宋_GB2312" w:cs="仿宋_GB2312" w:eastAsia="仿宋_GB2312"/>
        </w:rPr>
        <w:t>详见附件：法定代表人证明书及授权书.docx</w:t>
      </w:r>
    </w:p>
    <w:p>
      <w:pPr>
        <w:pStyle w:val="null3"/>
        <w:ind w:firstLine="960"/>
      </w:pPr>
      <w:r>
        <w:rPr>
          <w:rFonts w:ascii="仿宋_GB2312" w:hAnsi="仿宋_GB2312" w:cs="仿宋_GB2312" w:eastAsia="仿宋_GB2312"/>
        </w:rPr>
        <w:t>详见附件：汉中市政府采购供应商资格承诺函.docx</w:t>
      </w:r>
    </w:p>
    <w:p>
      <w:pPr>
        <w:pStyle w:val="null3"/>
        <w:ind w:firstLine="960"/>
      </w:pPr>
      <w:r>
        <w:rPr>
          <w:rFonts w:ascii="仿宋_GB2312" w:hAnsi="仿宋_GB2312" w:cs="仿宋_GB2312" w:eastAsia="仿宋_GB2312"/>
        </w:rPr>
        <w:t>详见附件：非联合体书面声明.docx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详见附件：合同书范本.docx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