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版本号：TXHZ-2025101620251127001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2025年略阳县白水江镇封家坝村猕猴桃基地提质增效工程采购项目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TXHZ-20251016</w:t>
      </w:r>
      <w:r>
        <w:br/>
      </w:r>
      <w:r>
        <w:br/>
      </w:r>
      <w:r>
        <w:br/>
      </w:r>
    </w:p>
    <w:p>
      <w:pPr>
        <w:pStyle w:val="null3"/>
        <w:jc w:val="center"/>
        <w:outlineLvl w:val="2"/>
      </w:pPr>
      <w:r>
        <w:rPr>
          <w:rFonts w:ascii="仿宋_GB2312" w:hAnsi="仿宋_GB2312" w:cs="仿宋_GB2312" w:eastAsia="仿宋_GB2312"/>
          <w:sz w:val="28"/>
          <w:b/>
        </w:rPr>
        <w:t>略阳县白水江镇人民政府</w:t>
      </w:r>
    </w:p>
    <w:p>
      <w:pPr>
        <w:pStyle w:val="null3"/>
        <w:jc w:val="center"/>
        <w:outlineLvl w:val="2"/>
      </w:pPr>
      <w:r>
        <w:rPr>
          <w:rFonts w:ascii="仿宋_GB2312" w:hAnsi="仿宋_GB2312" w:cs="仿宋_GB2312" w:eastAsia="仿宋_GB2312"/>
          <w:sz w:val="28"/>
          <w:b/>
        </w:rPr>
        <w:t>铁兴建设管理集团有限公司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铁兴建设管理集团有限公司</w:t>
      </w:r>
      <w:r>
        <w:rPr>
          <w:rFonts w:ascii="仿宋_GB2312" w:hAnsi="仿宋_GB2312" w:cs="仿宋_GB2312" w:eastAsia="仿宋_GB2312"/>
        </w:rPr>
        <w:t>（以下简称“代理机构”）受</w:t>
      </w:r>
      <w:r>
        <w:rPr>
          <w:rFonts w:ascii="仿宋_GB2312" w:hAnsi="仿宋_GB2312" w:cs="仿宋_GB2312" w:eastAsia="仿宋_GB2312"/>
        </w:rPr>
        <w:t>略阳县白水江镇人民政府</w:t>
      </w:r>
      <w:r>
        <w:rPr>
          <w:rFonts w:ascii="仿宋_GB2312" w:hAnsi="仿宋_GB2312" w:cs="仿宋_GB2312" w:eastAsia="仿宋_GB2312"/>
        </w:rPr>
        <w:t>委托，拟对</w:t>
      </w:r>
      <w:r>
        <w:rPr>
          <w:rFonts w:ascii="仿宋_GB2312" w:hAnsi="仿宋_GB2312" w:cs="仿宋_GB2312" w:eastAsia="仿宋_GB2312"/>
        </w:rPr>
        <w:t>2025年略阳县白水江镇封家坝村猕猴桃基地提质增效工程采购项目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TXHZ-20251016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2025年略阳县白水江镇封家坝村猕猴桃基地提质增效工程采购项目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新建钢结构400平方米分拣晾晒车间1栋，建设场地硬化800平方米，硬化产业道路30米，毛石挡土墙150米。</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采购包1（2025年略阳县白水江镇封家坝村猕猴桃基地提质增效工程采购项目）：属于专门面向中小企业采购。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2、供应商资质：供应商须具备建筑工程施工总承包三级及以上资质，并提供有效的安全生产许可证</w:t>
      </w:r>
    </w:p>
    <w:p>
      <w:pPr>
        <w:pStyle w:val="null3"/>
      </w:pPr>
      <w:r>
        <w:rPr>
          <w:rFonts w:ascii="仿宋_GB2312" w:hAnsi="仿宋_GB2312" w:cs="仿宋_GB2312" w:eastAsia="仿宋_GB2312"/>
        </w:rPr>
        <w:t>3、项目负责人资质和专业要求：项目经理需具备建筑工程专业二级及以上注册建造师证书和安全生产考核合格证（B证），且无在建工程项目（提供承诺函）</w:t>
      </w:r>
    </w:p>
    <w:p>
      <w:pPr>
        <w:pStyle w:val="null3"/>
      </w:pPr>
      <w:r>
        <w:rPr>
          <w:rFonts w:ascii="仿宋_GB2312" w:hAnsi="仿宋_GB2312" w:cs="仿宋_GB2312" w:eastAsia="仿宋_GB2312"/>
        </w:rPr>
        <w:t>4、供应商及项目经理信息查询：供应商及项目经理信息在“陕西省建筑市场监管与诚信信息发布平台”可查询</w:t>
      </w:r>
    </w:p>
    <w:p>
      <w:pPr>
        <w:pStyle w:val="null3"/>
      </w:pPr>
      <w:r>
        <w:rPr>
          <w:rFonts w:ascii="仿宋_GB2312" w:hAnsi="仿宋_GB2312" w:cs="仿宋_GB2312" w:eastAsia="仿宋_GB2312"/>
        </w:rPr>
        <w:t>5、授权书：法定代表人授权书复印件及被授权人身份证复印件（法定代表人直接参加投标只须提供法定代表人身份证复印件）</w:t>
      </w:r>
    </w:p>
    <w:p>
      <w:pPr>
        <w:pStyle w:val="null3"/>
      </w:pPr>
      <w:r>
        <w:rPr>
          <w:rFonts w:ascii="仿宋_GB2312" w:hAnsi="仿宋_GB2312" w:cs="仿宋_GB2312" w:eastAsia="仿宋_GB2312"/>
        </w:rPr>
        <w:t>6、承诺函：供应商须具有健全的财务会计制度、履行合同所需的设备和专业技术能力、依法缴纳税收和社会保障资金，以及参加采购活动前3年内经营活动无重大违法活动记录，供应商须提供《汉中市政府采购供应商资格承诺函》并签字盖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略阳县白水江镇人民政府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汉中市略阳县白水江镇江镇社区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724302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0916-4951002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铁兴建设管理集团有限公司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汉中市汉台区汉中路街道办事处滨江西路玫瑰庄园1-5205</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邓先生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0916-8886777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略阳县政府采购管理股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杨女士</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0916-4822998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采购包1：783,800.00元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开户名称：铁兴建设管理集团有限公司汉中分公司</w:t>
            </w:r>
          </w:p>
          <w:p>
            <w:pPr>
              <w:pStyle w:val="null3"/>
            </w:pPr>
            <w:r>
              <w:rPr>
                <w:rFonts w:ascii="仿宋_GB2312" w:hAnsi="仿宋_GB2312" w:cs="仿宋_GB2312" w:eastAsia="仿宋_GB2312"/>
              </w:rPr>
              <w:t>开户银行：陕西汉中农村商业银行股份有限公司滨江新区支行</w:t>
            </w:r>
          </w:p>
          <w:p>
            <w:pPr>
              <w:pStyle w:val="null3"/>
            </w:pPr>
            <w:r>
              <w:rPr>
                <w:rFonts w:ascii="仿宋_GB2312" w:hAnsi="仿宋_GB2312" w:cs="仿宋_GB2312" w:eastAsia="仿宋_GB2312"/>
              </w:rPr>
              <w:t>银行账号：2706012401201000009297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代理服务费收费标准：招标代理服务费依据国家计价格【2002】1980号文件《招标代理服务收费管理暂行办法》、国家发展改革委员会办公厅颁发的《关于招标代理服务费收费有关问题的通知》、《调整后的招标代理服务收费标准》（发改价格【2011】534号）文件规定的标准向成交（中标）单位计取招标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略阳县白水江镇人民政府</w:t>
      </w:r>
      <w:r>
        <w:rPr>
          <w:rFonts w:ascii="仿宋_GB2312" w:hAnsi="仿宋_GB2312" w:cs="仿宋_GB2312" w:eastAsia="仿宋_GB2312"/>
        </w:rPr>
        <w:t>和</w:t>
      </w:r>
      <w:r>
        <w:rPr>
          <w:rFonts w:ascii="仿宋_GB2312" w:hAnsi="仿宋_GB2312" w:cs="仿宋_GB2312" w:eastAsia="仿宋_GB2312"/>
        </w:rPr>
        <w:t>铁兴建设管理集团有限公司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略阳县白水江镇人民政府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铁兴建设管理集团有限公司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略阳县白水江镇人民政府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铁兴建设管理集团有限公司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按照招标文件和合同等相关文件约定执行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铁兴建设管理集团有限公司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铁兴建设管理集团有限公司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铁兴建设管理集团有限公司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联系人：邓先生</w:t>
      </w:r>
    </w:p>
    <w:p>
      <w:pPr>
        <w:pStyle w:val="null3"/>
      </w:pPr>
      <w:r>
        <w:rPr>
          <w:rFonts w:ascii="仿宋_GB2312" w:hAnsi="仿宋_GB2312" w:cs="仿宋_GB2312" w:eastAsia="仿宋_GB2312"/>
        </w:rPr>
        <w:t>联系电话：0916-8886777</w:t>
      </w:r>
    </w:p>
    <w:p>
      <w:pPr>
        <w:pStyle w:val="null3"/>
      </w:pPr>
      <w:r>
        <w:rPr>
          <w:rFonts w:ascii="仿宋_GB2312" w:hAnsi="仿宋_GB2312" w:cs="仿宋_GB2312" w:eastAsia="仿宋_GB2312"/>
        </w:rPr>
        <w:t>地址：汉中市汉台区汉中路街道办事处滨江西路玫瑰庄园1-5205</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783,800.00</w:t>
      </w:r>
    </w:p>
    <w:p>
      <w:pPr>
        <w:pStyle w:val="null3"/>
      </w:pPr>
      <w:r>
        <w:rPr>
          <w:rFonts w:ascii="仿宋_GB2312" w:hAnsi="仿宋_GB2312" w:cs="仿宋_GB2312" w:eastAsia="仿宋_GB2312"/>
        </w:rPr>
        <w:t>采购包最高限价（元）: 783,756.48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新建钢结构400平方米分拣晾晒车间1栋，建设场地硬化800平方米，硬化产业道路30米，毛石挡土墙150米。</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783,800.00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标的名称：新建钢结构400平方米分拣晾晒车间1栋，建设场地硬化800平方米，硬化产业道路30米，毛石挡土墙150米。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32"/>
                <w:b/>
              </w:rPr>
              <w:t>一、工程概况：</w:t>
            </w:r>
          </w:p>
          <w:p>
            <w:pPr>
              <w:pStyle w:val="null3"/>
              <w:ind w:firstLine="640"/>
            </w:pPr>
            <w:r>
              <w:rPr>
                <w:rFonts w:ascii="仿宋_GB2312" w:hAnsi="仿宋_GB2312" w:cs="仿宋_GB2312" w:eastAsia="仿宋_GB2312"/>
                <w:sz w:val="32"/>
              </w:rPr>
              <w:t>该工程为</w:t>
            </w:r>
            <w:r>
              <w:rPr>
                <w:rFonts w:ascii="仿宋_GB2312" w:hAnsi="仿宋_GB2312" w:cs="仿宋_GB2312" w:eastAsia="仿宋_GB2312"/>
                <w:sz w:val="32"/>
              </w:rPr>
              <w:t>2025年略阳县白水江镇封家坝村猕猴桃基地提质增效项目</w:t>
            </w:r>
            <w:r>
              <w:rPr>
                <w:rFonts w:ascii="仿宋_GB2312" w:hAnsi="仿宋_GB2312" w:cs="仿宋_GB2312" w:eastAsia="仿宋_GB2312"/>
                <w:sz w:val="32"/>
              </w:rPr>
              <w:t>，主要内容为</w:t>
            </w:r>
            <w:r>
              <w:rPr>
                <w:rFonts w:ascii="仿宋_GB2312" w:hAnsi="仿宋_GB2312" w:cs="仿宋_GB2312" w:eastAsia="仿宋_GB2312"/>
                <w:sz w:val="32"/>
              </w:rPr>
              <w:t>新建钢结构</w:t>
            </w:r>
            <w:r>
              <w:rPr>
                <w:rFonts w:ascii="仿宋_GB2312" w:hAnsi="仿宋_GB2312" w:cs="仿宋_GB2312" w:eastAsia="仿宋_GB2312"/>
                <w:sz w:val="32"/>
              </w:rPr>
              <w:t>400m2分拣晾晒车间1栋，建设场地硬化800平方米，硬化产业道路30米，毛石挡土墙150m等</w:t>
            </w:r>
            <w:r>
              <w:rPr>
                <w:rFonts w:ascii="仿宋_GB2312" w:hAnsi="仿宋_GB2312" w:cs="仿宋_GB2312" w:eastAsia="仿宋_GB2312"/>
                <w:sz w:val="32"/>
              </w:rPr>
              <w:t>。</w:t>
            </w:r>
          </w:p>
          <w:p>
            <w:pPr>
              <w:pStyle w:val="null3"/>
              <w:jc w:val="both"/>
            </w:pPr>
            <w:r>
              <w:rPr>
                <w:rFonts w:ascii="仿宋_GB2312" w:hAnsi="仿宋_GB2312" w:cs="仿宋_GB2312" w:eastAsia="仿宋_GB2312"/>
                <w:sz w:val="32"/>
                <w:b/>
              </w:rPr>
              <w:t>二、编制依据：</w:t>
            </w:r>
          </w:p>
          <w:p>
            <w:pPr>
              <w:pStyle w:val="null3"/>
              <w:ind w:firstLine="435"/>
              <w:jc w:val="both"/>
            </w:pPr>
            <w:r>
              <w:rPr>
                <w:rFonts w:ascii="仿宋_GB2312" w:hAnsi="仿宋_GB2312" w:cs="仿宋_GB2312" w:eastAsia="仿宋_GB2312"/>
                <w:sz w:val="21"/>
                <w:b/>
              </w:rPr>
              <w:t xml:space="preserve"> </w:t>
            </w:r>
            <w:r>
              <w:rPr>
                <w:rFonts w:ascii="仿宋_GB2312" w:hAnsi="仿宋_GB2312" w:cs="仿宋_GB2312" w:eastAsia="仿宋_GB2312"/>
                <w:sz w:val="32"/>
              </w:rPr>
              <w:t>1、200</w:t>
            </w:r>
            <w:r>
              <w:rPr>
                <w:rFonts w:ascii="仿宋_GB2312" w:hAnsi="仿宋_GB2312" w:cs="仿宋_GB2312" w:eastAsia="仿宋_GB2312"/>
                <w:sz w:val="32"/>
              </w:rPr>
              <w:t>25</w:t>
            </w:r>
            <w:r>
              <w:rPr>
                <w:rFonts w:ascii="仿宋_GB2312" w:hAnsi="仿宋_GB2312" w:cs="仿宋_GB2312" w:eastAsia="仿宋_GB2312"/>
                <w:sz w:val="32"/>
              </w:rPr>
              <w:t>《陕西省建筑工程工程量清单计价规则》；</w:t>
            </w:r>
          </w:p>
          <w:p>
            <w:pPr>
              <w:pStyle w:val="null3"/>
              <w:ind w:firstLine="656"/>
              <w:jc w:val="both"/>
            </w:pPr>
            <w:r>
              <w:rPr>
                <w:rFonts w:ascii="仿宋_GB2312" w:hAnsi="仿宋_GB2312" w:cs="仿宋_GB2312" w:eastAsia="仿宋_GB2312"/>
                <w:sz w:val="32"/>
              </w:rPr>
              <w:t>2、</w:t>
            </w:r>
            <w:r>
              <w:rPr>
                <w:rFonts w:ascii="仿宋_GB2312" w:hAnsi="仿宋_GB2312" w:cs="仿宋_GB2312" w:eastAsia="仿宋_GB2312"/>
                <w:sz w:val="32"/>
              </w:rPr>
              <w:t>2025年略阳县白水江镇封家坝村猕猴桃基地提质增效项目施工图；</w:t>
            </w:r>
          </w:p>
          <w:p>
            <w:pPr>
              <w:pStyle w:val="null3"/>
              <w:ind w:firstLine="640"/>
              <w:jc w:val="both"/>
            </w:pPr>
            <w:r>
              <w:rPr>
                <w:rFonts w:ascii="仿宋_GB2312" w:hAnsi="仿宋_GB2312" w:cs="仿宋_GB2312" w:eastAsia="仿宋_GB2312"/>
                <w:sz w:val="32"/>
              </w:rPr>
              <w:t>3、《陕西省建筑装饰、安装、市政</w:t>
            </w:r>
            <w:r>
              <w:rPr>
                <w:rFonts w:ascii="仿宋_GB2312" w:hAnsi="仿宋_GB2312" w:cs="仿宋_GB2312" w:eastAsia="仿宋_GB2312"/>
                <w:sz w:val="32"/>
              </w:rPr>
              <w:t>、园林绿化景观</w:t>
            </w:r>
            <w:r>
              <w:rPr>
                <w:rFonts w:ascii="仿宋_GB2312" w:hAnsi="仿宋_GB2312" w:cs="仿宋_GB2312" w:eastAsia="仿宋_GB2312"/>
                <w:sz w:val="32"/>
              </w:rPr>
              <w:t>工程消耗量定额（</w:t>
            </w:r>
            <w:r>
              <w:rPr>
                <w:rFonts w:ascii="仿宋_GB2312" w:hAnsi="仿宋_GB2312" w:cs="仿宋_GB2312" w:eastAsia="仿宋_GB2312"/>
                <w:sz w:val="32"/>
              </w:rPr>
              <w:t>200</w:t>
            </w:r>
            <w:r>
              <w:rPr>
                <w:rFonts w:ascii="仿宋_GB2312" w:hAnsi="仿宋_GB2312" w:cs="仿宋_GB2312" w:eastAsia="仿宋_GB2312"/>
                <w:sz w:val="32"/>
              </w:rPr>
              <w:t>25</w:t>
            </w:r>
            <w:r>
              <w:rPr>
                <w:rFonts w:ascii="仿宋_GB2312" w:hAnsi="仿宋_GB2312" w:cs="仿宋_GB2312" w:eastAsia="仿宋_GB2312"/>
                <w:sz w:val="32"/>
              </w:rPr>
              <w:t>）》、《陕西省建筑装饰、安装、市政</w:t>
            </w:r>
            <w:r>
              <w:rPr>
                <w:rFonts w:ascii="仿宋_GB2312" w:hAnsi="仿宋_GB2312" w:cs="仿宋_GB2312" w:eastAsia="仿宋_GB2312"/>
                <w:sz w:val="32"/>
              </w:rPr>
              <w:t>、园林绿化景观</w:t>
            </w:r>
            <w:r>
              <w:rPr>
                <w:rFonts w:ascii="仿宋_GB2312" w:hAnsi="仿宋_GB2312" w:cs="仿宋_GB2312" w:eastAsia="仿宋_GB2312"/>
                <w:sz w:val="32"/>
              </w:rPr>
              <w:t>工程价目表</w:t>
            </w:r>
            <w:r>
              <w:rPr>
                <w:rFonts w:ascii="仿宋_GB2312" w:hAnsi="仿宋_GB2312" w:cs="仿宋_GB2312" w:eastAsia="仿宋_GB2312"/>
                <w:sz w:val="32"/>
              </w:rPr>
              <w:t>200</w:t>
            </w:r>
            <w:r>
              <w:rPr>
                <w:rFonts w:ascii="仿宋_GB2312" w:hAnsi="仿宋_GB2312" w:cs="仿宋_GB2312" w:eastAsia="仿宋_GB2312"/>
                <w:sz w:val="32"/>
              </w:rPr>
              <w:t>25</w:t>
            </w:r>
            <w:r>
              <w:rPr>
                <w:rFonts w:ascii="仿宋_GB2312" w:hAnsi="仿宋_GB2312" w:cs="仿宋_GB2312" w:eastAsia="仿宋_GB2312"/>
                <w:sz w:val="32"/>
              </w:rPr>
              <w:t>》及配套使用的相关计价文件，及其他相关计价依据等依据；</w:t>
            </w:r>
          </w:p>
          <w:p>
            <w:pPr>
              <w:pStyle w:val="null3"/>
              <w:ind w:firstLine="640"/>
              <w:jc w:val="both"/>
            </w:pPr>
            <w:r>
              <w:rPr>
                <w:rFonts w:ascii="仿宋_GB2312" w:hAnsi="仿宋_GB2312" w:cs="仿宋_GB2312" w:eastAsia="仿宋_GB2312"/>
                <w:sz w:val="32"/>
              </w:rPr>
              <w:t>5</w:t>
            </w:r>
            <w:r>
              <w:rPr>
                <w:rFonts w:ascii="仿宋_GB2312" w:hAnsi="仿宋_GB2312" w:cs="仿宋_GB2312" w:eastAsia="仿宋_GB2312"/>
                <w:sz w:val="32"/>
              </w:rPr>
              <w:t>、该工程执行陕建规发【</w:t>
            </w:r>
            <w:r>
              <w:rPr>
                <w:rFonts w:ascii="仿宋_GB2312" w:hAnsi="仿宋_GB2312" w:cs="仿宋_GB2312" w:eastAsia="仿宋_GB2312"/>
                <w:sz w:val="32"/>
              </w:rPr>
              <w:t>2016】100号文件《关于调整陕西省建设工程计价依据的通知》（营改增）；</w:t>
            </w:r>
          </w:p>
          <w:p>
            <w:pPr>
              <w:pStyle w:val="null3"/>
              <w:ind w:firstLine="640"/>
              <w:jc w:val="both"/>
            </w:pPr>
            <w:r>
              <w:rPr>
                <w:rFonts w:ascii="仿宋_GB2312" w:hAnsi="仿宋_GB2312" w:cs="仿宋_GB2312" w:eastAsia="仿宋_GB2312"/>
                <w:sz w:val="32"/>
              </w:rPr>
              <w:t>7、该工程税金费率执行陕建发【2019】45号文件《关于调整建设工程计价依据增值税税率的通知》；</w:t>
            </w:r>
          </w:p>
          <w:p>
            <w:pPr>
              <w:pStyle w:val="null3"/>
              <w:ind w:firstLine="640"/>
              <w:jc w:val="both"/>
            </w:pPr>
            <w:r>
              <w:rPr>
                <w:rFonts w:ascii="仿宋_GB2312" w:hAnsi="仿宋_GB2312" w:cs="仿宋_GB2312" w:eastAsia="仿宋_GB2312"/>
                <w:sz w:val="32"/>
              </w:rPr>
              <w:t>8、该工程执行陕建发【2019】1246号文件，决定把落实实名制管理费用列入安全文明施工措施费（不可竞争费）计取；</w:t>
            </w:r>
          </w:p>
          <w:p>
            <w:pPr>
              <w:pStyle w:val="null3"/>
              <w:ind w:firstLine="640"/>
              <w:jc w:val="both"/>
            </w:pPr>
            <w:r>
              <w:rPr>
                <w:rFonts w:ascii="仿宋_GB2312" w:hAnsi="仿宋_GB2312" w:cs="仿宋_GB2312" w:eastAsia="仿宋_GB2312"/>
                <w:sz w:val="32"/>
              </w:rPr>
              <w:t>9、</w:t>
            </w:r>
            <w:r>
              <w:rPr>
                <w:rFonts w:ascii="仿宋_GB2312" w:hAnsi="仿宋_GB2312" w:cs="仿宋_GB2312" w:eastAsia="仿宋_GB2312"/>
                <w:sz w:val="32"/>
              </w:rPr>
              <w:t>该工程规费执行陕建发【</w:t>
            </w:r>
            <w:r>
              <w:rPr>
                <w:rFonts w:ascii="仿宋_GB2312" w:hAnsi="仿宋_GB2312" w:cs="仿宋_GB2312" w:eastAsia="仿宋_GB2312"/>
                <w:sz w:val="32"/>
              </w:rPr>
              <w:t>2020】1097号文件《关于建筑施工安全生产责任保险费用计价的通知》</w:t>
            </w:r>
          </w:p>
          <w:p>
            <w:pPr>
              <w:pStyle w:val="null3"/>
              <w:ind w:firstLine="640"/>
              <w:jc w:val="both"/>
            </w:pPr>
            <w:r>
              <w:rPr>
                <w:rFonts w:ascii="仿宋_GB2312" w:hAnsi="仿宋_GB2312" w:cs="仿宋_GB2312" w:eastAsia="仿宋_GB2312"/>
                <w:sz w:val="32"/>
              </w:rPr>
              <w:t>10</w:t>
            </w:r>
            <w:r>
              <w:rPr>
                <w:rFonts w:ascii="仿宋_GB2312" w:hAnsi="仿宋_GB2312" w:cs="仿宋_GB2312" w:eastAsia="仿宋_GB2312"/>
                <w:sz w:val="32"/>
              </w:rPr>
              <w:t>、主要材料价按汉中市工程造价管理办公室发布的《汉中建设工程造价信息》</w:t>
            </w:r>
            <w:r>
              <w:rPr>
                <w:rFonts w:ascii="仿宋_GB2312" w:hAnsi="仿宋_GB2312" w:cs="仿宋_GB2312" w:eastAsia="仿宋_GB2312"/>
                <w:sz w:val="32"/>
              </w:rPr>
              <w:t>20</w:t>
            </w:r>
            <w:r>
              <w:rPr>
                <w:rFonts w:ascii="仿宋_GB2312" w:hAnsi="仿宋_GB2312" w:cs="仿宋_GB2312" w:eastAsia="仿宋_GB2312"/>
                <w:sz w:val="32"/>
              </w:rPr>
              <w:t>2</w:t>
            </w:r>
            <w:r>
              <w:rPr>
                <w:rFonts w:ascii="仿宋_GB2312" w:hAnsi="仿宋_GB2312" w:cs="仿宋_GB2312" w:eastAsia="仿宋_GB2312"/>
                <w:sz w:val="32"/>
              </w:rPr>
              <w:t>5</w:t>
            </w:r>
            <w:r>
              <w:rPr>
                <w:rFonts w:ascii="仿宋_GB2312" w:hAnsi="仿宋_GB2312" w:cs="仿宋_GB2312" w:eastAsia="仿宋_GB2312"/>
                <w:sz w:val="32"/>
              </w:rPr>
              <w:t>年第</w:t>
            </w:r>
            <w:r>
              <w:rPr>
                <w:rFonts w:ascii="仿宋_GB2312" w:hAnsi="仿宋_GB2312" w:cs="仿宋_GB2312" w:eastAsia="仿宋_GB2312"/>
                <w:sz w:val="32"/>
              </w:rPr>
              <w:t>9</w:t>
            </w:r>
            <w:r>
              <w:rPr>
                <w:rFonts w:ascii="仿宋_GB2312" w:hAnsi="仿宋_GB2312" w:cs="仿宋_GB2312" w:eastAsia="仿宋_GB2312"/>
                <w:sz w:val="32"/>
              </w:rPr>
              <w:t>期材料价</w:t>
            </w:r>
            <w:r>
              <w:rPr>
                <w:rFonts w:ascii="仿宋_GB2312" w:hAnsi="仿宋_GB2312" w:cs="仿宋_GB2312" w:eastAsia="仿宋_GB2312"/>
                <w:sz w:val="32"/>
              </w:rPr>
              <w:t>并结合</w:t>
            </w:r>
            <w:r>
              <w:rPr>
                <w:rFonts w:ascii="仿宋_GB2312" w:hAnsi="仿宋_GB2312" w:cs="仿宋_GB2312" w:eastAsia="仿宋_GB2312"/>
                <w:sz w:val="32"/>
              </w:rPr>
              <w:t>当前建筑材料市场价综合计入。</w:t>
            </w:r>
          </w:p>
          <w:p>
            <w:pPr>
              <w:pStyle w:val="null3"/>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工程质量达到建筑工程施工质量验收规范合格标准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1、工期：60日历天；2、承包人严格按照国家颁发的施工验收规范及工程设计图纸和工程量清单要求进行施工</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满足采购需求及相关标准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供应商须提供《汉中市政府采购供应商资格承诺函》并签字盖章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供应商须具备建筑工程施工总承包三级及以上资质，并提供有效的安全生产许可证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项目负责人资质和专业要求</w:t>
            </w:r>
          </w:p>
        </w:tc>
        <w:tc>
          <w:tcPr>
            <w:tcW w:type="dxa" w:w="3322"/>
          </w:tcPr>
          <w:p>
            <w:pPr>
              <w:pStyle w:val="null3"/>
            </w:pPr>
            <w:r>
              <w:rPr>
                <w:rFonts w:ascii="仿宋_GB2312" w:hAnsi="仿宋_GB2312" w:cs="仿宋_GB2312" w:eastAsia="仿宋_GB2312"/>
              </w:rPr>
              <w:t>项目经理需具备建筑工程专业二级及以上注册建造师证书和安全生产考核合格证（B证），且无在建工程项目（提供承诺函）</w:t>
            </w:r>
          </w:p>
        </w:tc>
        <w:tc>
          <w:tcPr>
            <w:tcW w:type="dxa" w:w="1661"/>
          </w:tcPr>
          <w:p>
            <w:pPr>
              <w:pStyle w:val="null3"/>
            </w:pPr>
            <w:r>
              <w:rPr>
                <w:rFonts w:ascii="仿宋_GB2312" w:hAnsi="仿宋_GB2312" w:cs="仿宋_GB2312" w:eastAsia="仿宋_GB2312"/>
              </w:rPr>
              <w:t>供应商应提交的相关资格证明材料.docx 主要人员简历表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供应商及项目经理信息查询</w:t>
            </w:r>
          </w:p>
        </w:tc>
        <w:tc>
          <w:tcPr>
            <w:tcW w:type="dxa" w:w="3322"/>
          </w:tcPr>
          <w:p>
            <w:pPr>
              <w:pStyle w:val="null3"/>
            </w:pPr>
            <w:r>
              <w:rPr>
                <w:rFonts w:ascii="仿宋_GB2312" w:hAnsi="仿宋_GB2312" w:cs="仿宋_GB2312" w:eastAsia="仿宋_GB2312"/>
              </w:rPr>
              <w:t>供应商及项目经理信息在“陕西省建筑市场监管与诚信信息发布平台”可查询</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法定代表人授权书复印件及被授权人身份证复印件（法定代表人直接参加投标只须提供法定代表人身份证复印件）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供应商须具有健全的财务会计制度、履行合同所需的设备和专业技术能力、依法缴纳税收和社会保障资金，以及参加采购活动前3年内经营活动无重大违法活动记录，供应商须提供《汉中市政府采购供应商资格承诺函》并签字盖章</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A.实施方案完整详细、有针对性， 完全满足项目实施，具有优化建议 的得9-6.1分； B.实施方案完整， 可行，能满足项目实施的全部要求 的得6-3.1分； C.实施方案非专门 针对本项目，存在少量逻辑漏洞或 前后内容不一致的得3-0分；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安全作业管理</w:t>
            </w:r>
          </w:p>
        </w:tc>
        <w:tc>
          <w:tcPr>
            <w:tcW w:type="dxa" w:w="2492"/>
          </w:tcPr>
          <w:p>
            <w:pPr>
              <w:pStyle w:val="null3"/>
            </w:pPr>
            <w:r>
              <w:rPr>
                <w:rFonts w:ascii="仿宋_GB2312" w:hAnsi="仿宋_GB2312" w:cs="仿宋_GB2312" w:eastAsia="仿宋_GB2312"/>
              </w:rPr>
              <w:t>针对本项目提供具体的安全作业方 案及安全配套措施进行综合评审。 A.提供具体详细、有针对性的安全 作业方案及安全配套措施，完全符 合采购人安全作业要求且具有优化 建议的，得9-6.1分； B.提供安全 作业方案及安全配套措施，符合采 购人安全作业的要求，得6-3.1分 ； C.提供的安全作业方案及安全配 套措施非专门针对本项目，套用其 他项目内容，存在少量逻辑漏洞或 前后内容不一致的得3-0分。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文明施工措施计划</w:t>
            </w:r>
          </w:p>
        </w:tc>
        <w:tc>
          <w:tcPr>
            <w:tcW w:type="dxa" w:w="2492"/>
          </w:tcPr>
          <w:p>
            <w:pPr>
              <w:pStyle w:val="null3"/>
            </w:pPr>
            <w:r>
              <w:rPr>
                <w:rFonts w:ascii="仿宋_GB2312" w:hAnsi="仿宋_GB2312" w:cs="仿宋_GB2312" w:eastAsia="仿宋_GB2312"/>
              </w:rPr>
              <w:t>针对本项目提供的文明施工措施计 划进行综合评审。 A.措施计划详细 齐全、合理且切实可行，完全满足 采购人需求，具有优化建议的得9- 6.1分； B.措施计划齐全、合理、 切实可行，满足采购人需求得6-3. 1分； C.措施计划非专门针对本项 目，存在少量逻辑漏洞或前后内容 不一致的得3-0分。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技术组织措施</w:t>
            </w:r>
          </w:p>
        </w:tc>
        <w:tc>
          <w:tcPr>
            <w:tcW w:type="dxa" w:w="2492"/>
          </w:tcPr>
          <w:p>
            <w:pPr>
              <w:pStyle w:val="null3"/>
            </w:pPr>
            <w:r>
              <w:rPr>
                <w:rFonts w:ascii="仿宋_GB2312" w:hAnsi="仿宋_GB2312" w:cs="仿宋_GB2312" w:eastAsia="仿宋_GB2312"/>
              </w:rPr>
              <w:t>根据供应商制定的确保工程质量及 工期的技术组织措施进行综合评审 。 A.措施计划详细齐全、合理且切 实可行，完全满足采购人需求，具 有优化建议的得8-5.1分； B.措施 计划齐全、合理、切实可行，满足 采购人需求得5-2.1分； C.措施计 划非专门针对本项目，存在少量逻 辑漏洞或前后内容不一致的得2-0 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项目组织管理机构</w:t>
            </w:r>
          </w:p>
        </w:tc>
        <w:tc>
          <w:tcPr>
            <w:tcW w:type="dxa" w:w="2492"/>
          </w:tcPr>
          <w:p>
            <w:pPr>
              <w:pStyle w:val="null3"/>
            </w:pPr>
            <w:r>
              <w:rPr>
                <w:rFonts w:ascii="仿宋_GB2312" w:hAnsi="仿宋_GB2312" w:cs="仿宋_GB2312" w:eastAsia="仿宋_GB2312"/>
              </w:rPr>
              <w:t>针对本项目的项目组织管理机构配 备。 A.机构设置合理完善，人员配 备齐全，技术经验丰富，人员专业 性强，完全满足项目需求得6-3.1 分； B.机构设置合理，人员配备齐 全，且具备从业经验，满足项目需 求得3-1分； C.机构设置非专门针 对本项目，人员配备、技术经验有 欠缺的得0分；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根据供应商投入的施工机械配备和 材料投入计划等进行评审。 A.施工 机械配备合理并提供设备来源证明 材料，证明材料齐全且投入材料环 保性优于国家标准的得6-3.1分； B.施工机械配备合理和材料环保性 较好，提供了设备来源证明材料的 得3-1分； C.施工机械配备和材料 投入计划基本合理、可行，但未提 供其他证明材料的得0分；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劳动力安排计划及劳务分包情况表</w:t>
            </w:r>
          </w:p>
        </w:tc>
        <w:tc>
          <w:tcPr>
            <w:tcW w:type="dxa" w:w="2492"/>
          </w:tcPr>
          <w:p>
            <w:pPr>
              <w:pStyle w:val="null3"/>
            </w:pPr>
            <w:r>
              <w:rPr>
                <w:rFonts w:ascii="仿宋_GB2312" w:hAnsi="仿宋_GB2312" w:cs="仿宋_GB2312" w:eastAsia="仿宋_GB2312"/>
              </w:rPr>
              <w:t>供应商就本项目劳动力安排计划及 劳务分包情况表，根据合理、可行 程度进行评审。 A.劳动力安排计划 及劳务分包完整、合理、可行，有 利于本项目实施的得6-3.1分； B. 劳动力安排计划及劳务分包合理、 可行的，基本能满足项目实施的得 3-1分； C.劳动力安排计划及劳务 分包可行性较差，存在缺陷的得0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新材料 新工艺</w:t>
            </w:r>
          </w:p>
        </w:tc>
        <w:tc>
          <w:tcPr>
            <w:tcW w:type="dxa" w:w="2492"/>
          </w:tcPr>
          <w:p>
            <w:pPr>
              <w:pStyle w:val="null3"/>
            </w:pPr>
            <w:r>
              <w:rPr>
                <w:rFonts w:ascii="仿宋_GB2312" w:hAnsi="仿宋_GB2312" w:cs="仿宋_GB2312" w:eastAsia="仿宋_GB2312"/>
              </w:rPr>
              <w:t>一、评审内容 针对本项目具有①新材料的应用情况②新技术和新工艺的应用情况。 二、评审标准 1、完整性：方案必须全面，对评审内容中的各项要求有详细描述； 2、可实施性：切合本项目实际情况，提出步骤清晰、合理的方案； 3、针对性：方案能够紧扣项目实际情况，内容科学合理。 三、赋分标准（满分 3 分） ①新材料的应用情况：每完全满足一个评审标准得 0.5分，满分 1.5 分； ②新技术和新工艺的应用情况：每完全满足一个评审标准得 0.5 分， 满分 1.5 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供应商2022年1月至截标时间前同类施工项目业绩；每提供1份计3分，最高得9分。以业绩合同为准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供应商拟派项目负责人具有建筑工程专业高级职称的计5分，具有中级职称的计2分，中级以下不得分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主要人员简历表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 即满足磋商文件要求且最后报价最 低的响应人报价为磋商基准价，其 价格分为满分。其他响应人的价格 分统一按照下列公式计算： 磋商报 价得分=(磋商基准价／最后报价)× 价格分值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