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版本号：SCZN2025-CS-2306-00120251103001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2025年略阳县五龙洞镇下坝村食用菌大棚建设项目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SCZN2025-CS-2306-001</w:t>
      </w:r>
      <w:r>
        <w:br/>
      </w:r>
      <w:r>
        <w:br/>
      </w:r>
      <w:r>
        <w:br/>
      </w:r>
    </w:p>
    <w:p>
      <w:pPr>
        <w:pStyle w:val="null3"/>
        <w:jc w:val="center"/>
        <w:outlineLvl w:val="2"/>
      </w:pPr>
      <w:r>
        <w:rPr>
          <w:rFonts w:ascii="仿宋_GB2312" w:hAnsi="仿宋_GB2312" w:cs="仿宋_GB2312" w:eastAsia="仿宋_GB2312"/>
          <w:sz w:val="28"/>
          <w:b/>
        </w:rPr>
        <w:t>略阳县五龙洞镇人民政府</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略阳县五龙洞镇人民政府</w:t>
      </w:r>
      <w:r>
        <w:rPr>
          <w:rFonts w:ascii="仿宋_GB2312" w:hAnsi="仿宋_GB2312" w:cs="仿宋_GB2312" w:eastAsia="仿宋_GB2312"/>
        </w:rPr>
        <w:t>委托，拟对</w:t>
      </w:r>
      <w:r>
        <w:rPr>
          <w:rFonts w:ascii="仿宋_GB2312" w:hAnsi="仿宋_GB2312" w:cs="仿宋_GB2312" w:eastAsia="仿宋_GB2312"/>
        </w:rPr>
        <w:t>2025年略阳县五龙洞镇下坝村食用菌大棚建设项目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SCZN2025-CS-2306-001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2025年略阳县五龙洞镇下坝村食用菌大棚建设项目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略阳县五龙洞镇下坝村，新建钢结构大棚3000平方米，冷库1座150立方米，彩钢棚150平方米；建设产业道路160米，挡墙长226米，修建排水沟275米，输水管道300m；安装棚内出菇架720米，透水转铺装900平方米等，具体内容以竞争性磋商文件、施工图纸、工程量清单的所有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采购包1（2025年略阳县五龙洞镇下坝村食用菌大棚建设项目）：属于专门面向中小企业采购。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证明书及授权书：法定代表人（负责人）委托授权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4、供应商资质要求：供应商具有建筑工程施工总承包三级（含三级）以上资质；且具有有效的安全生产许可证，并在人员、设备、资金等方面具有承担本标段的施工能力；</w:t>
      </w:r>
    </w:p>
    <w:p>
      <w:pPr>
        <w:pStyle w:val="null3"/>
      </w:pPr>
      <w:r>
        <w:rPr>
          <w:rFonts w:ascii="仿宋_GB2312" w:hAnsi="仿宋_GB2312" w:cs="仿宋_GB2312" w:eastAsia="仿宋_GB2312"/>
        </w:rPr>
        <w:t>5、供应商拟派项目经理要求：供应商拟派项目经理需具备建筑工程专业二级（含二级）及以上建造师执业资格，具备有效的安全生产考核合格证（建安B证），且未担任其他在建工程项目的项目经理（以承诺书为准）；</w:t>
      </w:r>
    </w:p>
    <w:p>
      <w:pPr>
        <w:pStyle w:val="null3"/>
      </w:pPr>
      <w:r>
        <w:rPr>
          <w:rFonts w:ascii="仿宋_GB2312" w:hAnsi="仿宋_GB2312" w:cs="仿宋_GB2312" w:eastAsia="仿宋_GB2312"/>
        </w:rPr>
        <w:t>6、是否面向中、小企业：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7、关联关系：单位负责人为同一人或者存在控股、管理关系的不同单位不得同时参加，需提供书面声明；</w:t>
      </w:r>
    </w:p>
    <w:p>
      <w:pPr>
        <w:pStyle w:val="null3"/>
      </w:pPr>
      <w:r>
        <w:rPr>
          <w:rFonts w:ascii="仿宋_GB2312" w:hAnsi="仿宋_GB2312" w:cs="仿宋_GB2312" w:eastAsia="仿宋_GB2312"/>
        </w:rPr>
        <w:t>8、其他要求：本项目不接受联合体投标，供应商需提供非联合体书面声明。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略阳县五龙洞镇人民政府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略阳县五龙洞镇中川坝村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略阳县五龙洞镇人民政府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0916-4956011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汉中市汉台区西一环路旺座国际A座1001室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0916-2683047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开户银行：中行西安南郊支行营业部</w:t>
            </w:r>
          </w:p>
          <w:p>
            <w:pPr>
              <w:pStyle w:val="null3"/>
            </w:pPr>
            <w:r>
              <w:rPr>
                <w:rFonts w:ascii="仿宋_GB2312" w:hAnsi="仿宋_GB2312" w:cs="仿宋_GB2312" w:eastAsia="仿宋_GB2312"/>
              </w:rPr>
              <w:t>银行账号：102861560050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改革委员会办公厅颁发的《关于招标代理服务收费有关问题的通知》（发改办价格[2003]857号）以及《陕西省物价局陕西省住房和城乡建设厅关于我省工程造价咨询服务收费标准有关问题的通知》陕价行发〔2014〕88号文的相关规定向招标代理机构一次付清代理服务费及造价咨询服务费。 招标代理服务费公布方式：代理服务费金额将在成交结果公告中明确，成交单位在领取成交通知书前，须向采购代理机构一次性支付招标代理服务费及造价咨询服务费（注：磋商保证金缴纳时须备注"项目名称及项目编号+磋商保证金/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略阳县五龙洞镇人民政府</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略阳县五龙洞镇人民政府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略阳县五龙洞镇人民政府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遵照竞争性磋商文件、国家有关规定及合同约定执行。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联系电话：0916-2683047、15029868563</w:t>
      </w:r>
    </w:p>
    <w:p>
      <w:pPr>
        <w:pStyle w:val="null3"/>
      </w:pPr>
      <w:r>
        <w:rPr>
          <w:rFonts w:ascii="仿宋_GB2312" w:hAnsi="仿宋_GB2312" w:cs="仿宋_GB2312" w:eastAsia="仿宋_GB2312"/>
        </w:rPr>
        <w:t>地址：汉中市汉台区西一环路旺座国际A座1001室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899,210.76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2025年略阳县五龙洞镇下坝村食用菌大棚建设项目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标的名称：2025年略阳县五龙洞镇下坝村食用菌大棚建设项目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一、项目基本情况</w:t>
            </w:r>
          </w:p>
          <w:p>
            <w:pPr>
              <w:pStyle w:val="null3"/>
            </w:pPr>
            <w:r>
              <w:rPr>
                <w:rFonts w:ascii="仿宋_GB2312" w:hAnsi="仿宋_GB2312" w:cs="仿宋_GB2312" w:eastAsia="仿宋_GB2312"/>
              </w:rPr>
              <w:t>略阳县五龙洞镇下坝村位于略阳县城北部36公里处，距五龙洞镇政府以东13公里，全村土地面积21平方公里，耕地694亩。全村辖3个村民小组，有166户665人，劳动力资源410人。近年来下坝村大力发展食用菌、天麻种植，截至目前，全村食用菌种植达到20万筒以上，天麻种植达到4万窝。2024 年向全村村民免费发放优质油菜籽600余包共120斤，解决200余亩农田播种需求，下坝村党支部通过“党建引领+企业+农户”的发展模式，村集体于2023年首次试种金耳50架，带动5户农户发展金耳种植共220余架，吸纳劳动力60余人。</w:t>
            </w:r>
          </w:p>
          <w:p>
            <w:pPr>
              <w:pStyle w:val="null3"/>
            </w:pPr>
            <w:r>
              <w:rPr>
                <w:rFonts w:ascii="仿宋_GB2312" w:hAnsi="仿宋_GB2312" w:cs="仿宋_GB2312" w:eastAsia="仿宋_GB2312"/>
              </w:rPr>
              <w:t>二、项目实施地点、建设内容</w:t>
            </w:r>
          </w:p>
          <w:p>
            <w:pPr>
              <w:pStyle w:val="null3"/>
            </w:pPr>
            <w:r>
              <w:rPr>
                <w:rFonts w:ascii="仿宋_GB2312" w:hAnsi="仿宋_GB2312" w:cs="仿宋_GB2312" w:eastAsia="仿宋_GB2312"/>
              </w:rPr>
              <w:t>1.实施地点：略阳县五龙洞镇下坝村</w:t>
            </w:r>
          </w:p>
          <w:p>
            <w:pPr>
              <w:pStyle w:val="null3"/>
            </w:pPr>
            <w:r>
              <w:rPr>
                <w:rFonts w:ascii="仿宋_GB2312" w:hAnsi="仿宋_GB2312" w:cs="仿宋_GB2312" w:eastAsia="仿宋_GB2312"/>
              </w:rPr>
              <w:t>2.建设内容：新建钢结构大棚3000平方米，冷库1座150立方米，彩钢棚150平方米；建设产业道路160米，挡墙长226米，修建排水沟275米，输水管道300m；安装棚内出菇架720米，透水转铺装900平方米。</w:t>
            </w:r>
          </w:p>
          <w:p>
            <w:pPr>
              <w:pStyle w:val="null3"/>
            </w:pPr>
            <w:r>
              <w:rPr>
                <w:rFonts w:ascii="仿宋_GB2312" w:hAnsi="仿宋_GB2312" w:cs="仿宋_GB2312" w:eastAsia="仿宋_GB2312"/>
              </w:rPr>
              <w:t>三、项目建设要求</w:t>
            </w:r>
          </w:p>
          <w:p>
            <w:pPr>
              <w:pStyle w:val="null3"/>
            </w:pPr>
            <w:r>
              <w:rPr>
                <w:rFonts w:ascii="仿宋_GB2312" w:hAnsi="仿宋_GB2312" w:cs="仿宋_GB2312" w:eastAsia="仿宋_GB2312"/>
              </w:rPr>
              <w:t>1.施工规范及要求</w:t>
            </w:r>
          </w:p>
          <w:p>
            <w:pPr>
              <w:pStyle w:val="null3"/>
            </w:pPr>
            <w:r>
              <w:rPr>
                <w:rFonts w:ascii="仿宋_GB2312" w:hAnsi="仿宋_GB2312" w:cs="仿宋_GB2312" w:eastAsia="仿宋_GB2312"/>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供应商施工选用的设备及投入本项目的材料及施工必须符合最新版本的国家标准、规范；达到现行中华人民共和国及省、市、行业的一切有关法规、规范的要求，如标准及规范要求有出入，未能达到国家最新标准，则以较严格者为准。</w:t>
            </w:r>
          </w:p>
          <w:p>
            <w:pPr>
              <w:pStyle w:val="null3"/>
            </w:pPr>
            <w:r>
              <w:rPr>
                <w:rFonts w:ascii="仿宋_GB2312" w:hAnsi="仿宋_GB2312" w:cs="仿宋_GB2312" w:eastAsia="仿宋_GB2312"/>
              </w:rPr>
              <w:t>（2）采购人提供工程的施工方案和相关技术文件，是采购人现有的能被供应商利用的资料，采购人对供应商做出的任何推论、理解均不负责任。</w:t>
            </w:r>
          </w:p>
          <w:p>
            <w:pPr>
              <w:pStyle w:val="null3"/>
            </w:pPr>
            <w:r>
              <w:rPr>
                <w:rFonts w:ascii="仿宋_GB2312" w:hAnsi="仿宋_GB2312" w:cs="仿宋_GB2312" w:eastAsia="仿宋_GB2312"/>
              </w:rPr>
              <w:t>（3）施工过程中，所有材料必须在检验合格经采购人同意后，方可用于本工程。</w:t>
            </w:r>
          </w:p>
          <w:p>
            <w:pPr>
              <w:pStyle w:val="null3"/>
            </w:pPr>
            <w:r>
              <w:rPr>
                <w:rFonts w:ascii="仿宋_GB2312" w:hAnsi="仿宋_GB2312" w:cs="仿宋_GB2312" w:eastAsia="仿宋_GB2312"/>
              </w:rPr>
              <w:t>（4）供应商应先到工程地点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rPr>
              <w:t>（5）隐蔽工程必须经采购人检查、验收后，方可进行下一道工序，每道工序都应严格按图纸设计要求进行施工，偏差控制在技术规范内，遇到疑难问题应及时反馈，如有变更应作出书面报告，待批复后才能施工，不得自行更改。</w:t>
            </w:r>
          </w:p>
          <w:p>
            <w:pPr>
              <w:pStyle w:val="null3"/>
            </w:pPr>
            <w:r>
              <w:rPr>
                <w:rFonts w:ascii="仿宋_GB2312" w:hAnsi="仿宋_GB2312" w:cs="仿宋_GB2312" w:eastAsia="仿宋_GB2312"/>
              </w:rPr>
              <w:t>（6）供应商取得验收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w:t>
            </w:r>
          </w:p>
          <w:p>
            <w:pPr>
              <w:pStyle w:val="null3"/>
            </w:pPr>
            <w:r>
              <w:rPr>
                <w:rFonts w:ascii="仿宋_GB2312" w:hAnsi="仿宋_GB2312" w:cs="仿宋_GB2312" w:eastAsia="仿宋_GB2312"/>
              </w:rPr>
              <w:t>（7）在免费质量保修期内，中标人对有缺陷的部位必须无偿地给予修理</w:t>
            </w:r>
          </w:p>
          <w:p>
            <w:pPr>
              <w:pStyle w:val="null3"/>
            </w:pPr>
            <w:r>
              <w:rPr>
                <w:rFonts w:ascii="仿宋_GB2312" w:hAnsi="仿宋_GB2312" w:cs="仿宋_GB2312" w:eastAsia="仿宋_GB2312"/>
              </w:rPr>
              <w:t>与更换，并承担一切由此引起的对采购人或第三者的直接损失，除非该缺陷是由于人为破坏或合同规定的不可抗因素造成的损坏。</w:t>
            </w:r>
          </w:p>
          <w:p>
            <w:pPr>
              <w:pStyle w:val="null3"/>
            </w:pPr>
            <w:r>
              <w:rPr>
                <w:rFonts w:ascii="仿宋_GB2312" w:hAnsi="仿宋_GB2312" w:cs="仿宋_GB2312" w:eastAsia="仿宋_GB2312"/>
              </w:rPr>
              <w:t>（8）中标人未经采购人及有关部门同意，不得擅自变更本项目在招标过程承诺中认定的采购范围、实施组织方案和项目负责人（投标文件中应明确项目经理的姓名及联系方法，以备检查）。</w:t>
            </w:r>
          </w:p>
          <w:p>
            <w:pPr>
              <w:pStyle w:val="null3"/>
            </w:pPr>
            <w:r>
              <w:rPr>
                <w:rFonts w:ascii="仿宋_GB2312" w:hAnsi="仿宋_GB2312" w:cs="仿宋_GB2312" w:eastAsia="仿宋_GB2312"/>
              </w:rPr>
              <w:t>（9）中标人必须自行施工，不得转包、分包。</w:t>
            </w:r>
          </w:p>
          <w:p>
            <w:pPr>
              <w:pStyle w:val="null3"/>
            </w:pPr>
            <w:r>
              <w:rPr>
                <w:rFonts w:ascii="仿宋_GB2312" w:hAnsi="仿宋_GB2312" w:cs="仿宋_GB2312" w:eastAsia="仿宋_GB2312"/>
              </w:rPr>
              <w:t>（10）现场垃圾清运、治污减霾工作由中标人全权负责，做好项目的扬尘防治工作及垃圾清运工作。</w:t>
            </w:r>
          </w:p>
          <w:p>
            <w:pPr>
              <w:pStyle w:val="null3"/>
            </w:pPr>
            <w:r>
              <w:rPr>
                <w:rFonts w:ascii="仿宋_GB2312" w:hAnsi="仿宋_GB2312" w:cs="仿宋_GB2312" w:eastAsia="仿宋_GB2312"/>
              </w:rPr>
              <w:t>2.工程管理要求</w:t>
            </w:r>
          </w:p>
          <w:p>
            <w:pPr>
              <w:pStyle w:val="null3"/>
            </w:pPr>
            <w:r>
              <w:rPr>
                <w:rFonts w:ascii="仿宋_GB2312" w:hAnsi="仿宋_GB2312" w:cs="仿宋_GB2312" w:eastAsia="仿宋_GB2312"/>
              </w:rPr>
              <w:t>（1）供应商应严格按已确认施工技术方案组织施工，并无条件地接受采购人代表对施工质量的监督和管理。施工过程中，施工方必须要严格把关，按照相应规范标准要求施工，如出现不符合标准要求的情况，施工方必须无条件返工，直至达到规范标准要求。所发生的费用均由施工方承担。</w:t>
            </w:r>
          </w:p>
          <w:p>
            <w:pPr>
              <w:pStyle w:val="null3"/>
            </w:pPr>
            <w:r>
              <w:rPr>
                <w:rFonts w:ascii="仿宋_GB2312" w:hAnsi="仿宋_GB2312" w:cs="仿宋_GB2312" w:eastAsia="仿宋_GB2312"/>
              </w:rPr>
              <w:t>（2）供应商在投标文件中的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pPr>
            <w:r>
              <w:rPr>
                <w:rFonts w:ascii="仿宋_GB2312" w:hAnsi="仿宋_GB2312" w:cs="仿宋_GB2312" w:eastAsia="仿宋_GB2312"/>
              </w:rPr>
              <w:t>3.质量保修期及质量验收标准</w:t>
            </w:r>
          </w:p>
          <w:p>
            <w:pPr>
              <w:pStyle w:val="null3"/>
            </w:pPr>
            <w:r>
              <w:rPr>
                <w:rFonts w:ascii="仿宋_GB2312" w:hAnsi="仿宋_GB2312" w:cs="仿宋_GB2312" w:eastAsia="仿宋_GB2312"/>
              </w:rPr>
              <w:t>（1）质量保修期：本工程质量保修期1年，工程竣工验收合格之日起计算。</w:t>
            </w:r>
          </w:p>
          <w:p>
            <w:pPr>
              <w:pStyle w:val="null3"/>
            </w:pPr>
            <w:r>
              <w:rPr>
                <w:rFonts w:ascii="仿宋_GB2312" w:hAnsi="仿宋_GB2312" w:cs="仿宋_GB2312" w:eastAsia="仿宋_GB2312"/>
              </w:rPr>
              <w:t>（2）质量验收标准</w:t>
            </w:r>
          </w:p>
          <w:p>
            <w:pPr>
              <w:pStyle w:val="null3"/>
            </w:pPr>
            <w:r>
              <w:rPr>
                <w:rFonts w:ascii="仿宋_GB2312" w:hAnsi="仿宋_GB2312" w:cs="仿宋_GB2312" w:eastAsia="仿宋_GB2312"/>
              </w:rPr>
              <w:t>①所含分部工程的质量均应验收合格；</w:t>
            </w:r>
          </w:p>
          <w:p>
            <w:pPr>
              <w:pStyle w:val="null3"/>
            </w:pPr>
            <w:r>
              <w:rPr>
                <w:rFonts w:ascii="仿宋_GB2312" w:hAnsi="仿宋_GB2312" w:cs="仿宋_GB2312" w:eastAsia="仿宋_GB2312"/>
              </w:rPr>
              <w:t>②质量控制资料应完整；</w:t>
            </w:r>
          </w:p>
          <w:p>
            <w:pPr>
              <w:pStyle w:val="null3"/>
            </w:pPr>
            <w:r>
              <w:rPr>
                <w:rFonts w:ascii="仿宋_GB2312" w:hAnsi="仿宋_GB2312" w:cs="仿宋_GB2312" w:eastAsia="仿宋_GB2312"/>
              </w:rPr>
              <w:t>③所含工程中有关安全、节能、环境保护和主要使用功能的检验资料应完整；</w:t>
            </w:r>
          </w:p>
          <w:p>
            <w:pPr>
              <w:pStyle w:val="null3"/>
            </w:pPr>
            <w:r>
              <w:rPr>
                <w:rFonts w:ascii="仿宋_GB2312" w:hAnsi="仿宋_GB2312" w:cs="仿宋_GB2312" w:eastAsia="仿宋_GB2312"/>
              </w:rPr>
              <w:t>④有关安全、节能、环境保护和主要使用功能的抽样检验结果应符合相应规定；</w:t>
            </w:r>
          </w:p>
          <w:p>
            <w:pPr>
              <w:pStyle w:val="null3"/>
            </w:pPr>
            <w:r>
              <w:rPr>
                <w:rFonts w:ascii="仿宋_GB2312" w:hAnsi="仿宋_GB2312" w:cs="仿宋_GB2312" w:eastAsia="仿宋_GB2312"/>
              </w:rPr>
              <w:t>⑤主要使用功能的抽查结果应符合相关专业验收规范的规定；</w:t>
            </w:r>
          </w:p>
          <w:p>
            <w:pPr>
              <w:pStyle w:val="null3"/>
            </w:pPr>
            <w:r>
              <w:rPr>
                <w:rFonts w:ascii="仿宋_GB2312" w:hAnsi="仿宋_GB2312" w:cs="仿宋_GB2312" w:eastAsia="仿宋_GB2312"/>
              </w:rPr>
              <w:t>⑥现行的国家标准或国家行政部门颁布的法律法规、规章制度，没有国家标准的，可以参考行业标准。</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1.工程质量：达到国家现行行业施工验收规范“合格”标准。</w:t>
            </w:r>
          </w:p>
          <w:p>
            <w:pPr>
              <w:pStyle w:val="null3"/>
            </w:pPr>
            <w:r>
              <w:rPr>
                <w:rFonts w:ascii="仿宋_GB2312" w:hAnsi="仿宋_GB2312" w:cs="仿宋_GB2312" w:eastAsia="仿宋_GB2312"/>
              </w:rPr>
              <w:t>2.工期要求：自接到采购人开工通知之日起60日历天内。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以磋商文件要求为准。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 期：自接到采购人开工通知之日起60日历天内； 2.工程质量：达到国家现行行业施工验收规范“合格”标准； 3.工程地点：采购人指定地点； 4.质量保修期：自工程竣工验收合格之日进入工程质量保修期，质量保修期1年； 5.报价要求：5.1各供应商以填报“总价及全费用单价”的形式，充分考虑磋商文件的各项条款和所掌握的市场情况及本工程的实际情况，且应根据企业自身情况自主报价。5.2以所填报的“总价”参与价格分的评审，结算时以成交“全费用单价”结合合同约定的结算方式进行最终结算。5.3供应商磋商报价（一次报价及最后磋商报价）中的价格均包含完成相应工作内容的人工费、材料费、机械费、企业管理费、利润、措施项目费、规费、税金和供应商必须的其它费用以及合同明示或暗示的所有风险、责任和义务等所有相关费用的全费用单价。合同期限内不因任何原因调整所填报的单价，工程量清单中的工程量为暂定量，结算工程量根据现场实际发生量据实结算，工程造价最终以审计结算结果为准。 6.所有材料必须使用合格产品，使用前应当由采购人认质确认后方可投入使用。工程施工完毕后需对施工场地进行保洁，保洁标准达到采购人要求。 7.供应商可应到实施地点踏勘以充分了解工地位置、情况、道路、储存空间、装卸限制及任何其他足以影响响应报价的情况，供应商因忽视或误解工地情况而导致的其提出的任何索赔或工期延长申请将不被批准。凡因供应商对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 8.要求的其他相关费用以本磋商文件的内容和要求作为磋商响应依据。 9.规费、税金和安全文明施工措施费属不可竞争费用，按照现行有关规定填报。 10.本项目计价依据及内容详见工程量编制清单及最高限价编制清单。其他报价需要注意的事项以磋商文件及拟签订合同中的要求为准。 11.关于本项目的结算方式、价格调整办法详见“拟签订的合同文本”。 12.验收方式：由采购人组织相关部门进行验收，验收标准：达到国家现行施工验收 规范“合格”标准。 13.付款方式：本工程在合同签订后待中标（成交）供应商提供符合采购人要求的银行出具的预付款保函后，本项目支付合同总价款的40%作为预付款；正式审计报告出具后采购人在办理完工程款支付审批手续后，向中标（成交）供应商支付至工程审定造价的95%；剩余5%余款在中标（成交）供应商履行保修义务无质量问题后支付。（注：付款前，中标（成交）供应商需向采购人出具合法有效的等额增值税专用或普通发票，否则，视为付款条件不成就，采购人有权拒绝付款，由此造成的损失由中标（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负责人）委托授权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供应商具有建筑工程施工总承包三级（含三级）以上资质；且具有有效的安全生产许可证，并在人员、设备、资金等方面具有承担本标段的施工能力；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供应商拟派项目经理要求</w:t>
            </w:r>
          </w:p>
        </w:tc>
        <w:tc>
          <w:tcPr>
            <w:tcW w:type="dxa" w:w="3322"/>
          </w:tcPr>
          <w:p>
            <w:pPr>
              <w:pStyle w:val="null3"/>
            </w:pPr>
            <w:r>
              <w:rPr>
                <w:rFonts w:ascii="仿宋_GB2312" w:hAnsi="仿宋_GB2312" w:cs="仿宋_GB2312" w:eastAsia="仿宋_GB2312"/>
              </w:rPr>
              <w:t>供应商拟派项目经理需具备建筑工程专业二级（含二级）及以上建造师执业资格，具备有效的安全生产考核合格证（建安B证），且未担任其他在建工程项目的项目经理（以承诺书为准）；</w:t>
            </w:r>
          </w:p>
        </w:tc>
        <w:tc>
          <w:tcPr>
            <w:tcW w:type="dxa" w:w="1661"/>
          </w:tcPr>
          <w:p>
            <w:pPr>
              <w:pStyle w:val="null3"/>
            </w:pPr>
            <w:r>
              <w:rPr>
                <w:rFonts w:ascii="仿宋_GB2312" w:hAnsi="仿宋_GB2312" w:cs="仿宋_GB2312" w:eastAsia="仿宋_GB2312"/>
              </w:rPr>
              <w:t>供应商应提交的相关资格证明材料.docx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单位负责人为同一人或者存在控股、管理关系的不同单位不得同时参加，需提供书面声明；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项目整体施工方案.docx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每轮应当只能有一个有效报价，否则磋商小组应当将其响应文件作为无效处理。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工期及工程质量</w:t>
            </w:r>
          </w:p>
        </w:tc>
        <w:tc>
          <w:tcPr>
            <w:tcW w:type="dxa" w:w="3322"/>
          </w:tcPr>
          <w:p>
            <w:pPr>
              <w:pStyle w:val="null3"/>
            </w:pPr>
            <w:r>
              <w:rPr>
                <w:rFonts w:ascii="仿宋_GB2312" w:hAnsi="仿宋_GB2312" w:cs="仿宋_GB2312" w:eastAsia="仿宋_GB2312"/>
              </w:rPr>
              <w:t>是否符合竞争性磋商文件中规定的要求。</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响应报价应当不超过竞争性磋商文件中规定的最高限价，否则磋商小组应当将其响应文件作为无效处理。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响应文件未含有采购人不能接受的附加条件的或其他情形，否则磋商小组应当将其响应文件作为无效处理。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项目整体施工方案.docx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供应商提供2022年7月1日以来至今已完成的类似业绩证明材料，每提供1项得2.5分，最多得5分。 （类似业绩：指大棚建设类或其他工程施工中包含建设工程施工内容的业绩） 评审依据：提供类似业绩合同扫描件或复印件加盖供应商公章（包含合同主要内容及签字盖章等关键信息），时间以合同体现时间为准，未提供或提供不全的不得分。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拟派项目经理的职称</w:t>
            </w:r>
          </w:p>
        </w:tc>
        <w:tc>
          <w:tcPr>
            <w:tcW w:type="dxa" w:w="2492"/>
          </w:tcPr>
          <w:p>
            <w:pPr>
              <w:pStyle w:val="null3"/>
            </w:pPr>
            <w:r>
              <w:rPr>
                <w:rFonts w:ascii="仿宋_GB2312" w:hAnsi="仿宋_GB2312" w:cs="仿宋_GB2312" w:eastAsia="仿宋_GB2312"/>
              </w:rPr>
              <w:t>拟派项目经理具备中级（含）以上职称的得5分，初级的得3分；其余情况不得分。 评审依据：评审时以供应商提供的拟派项目经理的职称证扫描件或复印件并加盖供应商公章为准，提供多个职称证明材料的，以最高职称证书的扫描件或复印件并加盖供应商公章为准。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项目部人员（除项目经理外）包括但不限于（技术负责人、施工员、资料员、质量员、安全员、材料员等）每加1人得1分，最高得6分。 评审依据：配备的专业技术或管理人员必须具有相应专业职称证书或注册证书或从业证书，评审时以供应商提供加盖供应商公章的证书复印件或扫描件为准。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拟派项目部人员安全保障措施</w:t>
            </w:r>
          </w:p>
        </w:tc>
        <w:tc>
          <w:tcPr>
            <w:tcW w:type="dxa" w:w="2492"/>
          </w:tcPr>
          <w:p>
            <w:pPr>
              <w:pStyle w:val="null3"/>
            </w:pPr>
            <w:r>
              <w:rPr>
                <w:rFonts w:ascii="仿宋_GB2312" w:hAnsi="仿宋_GB2312" w:cs="仿宋_GB2312" w:eastAsia="仿宋_GB2312"/>
              </w:rPr>
              <w:t>根据本项目拟派人员的安全、文明作业保障，包括安全知识培训、安全设施检查等保障措施的合理可行性，完全满足采购人要求等角度考量得6分；若上述内容存在缺陷，每出现一处缺陷扣1分，扣完为止。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项目整体施工方案1</w:t>
            </w:r>
          </w:p>
        </w:tc>
        <w:tc>
          <w:tcPr>
            <w:tcW w:type="dxa" w:w="2492"/>
          </w:tcPr>
          <w:p>
            <w:pPr>
              <w:pStyle w:val="null3"/>
            </w:pPr>
            <w:r>
              <w:rPr>
                <w:rFonts w:ascii="仿宋_GB2312" w:hAnsi="仿宋_GB2312" w:cs="仿宋_GB2312" w:eastAsia="仿宋_GB2312"/>
              </w:rPr>
              <w:t>1.根据供应商提供的施工整体方案，包括但不限于：①施工组织整体方案；②分部分项施工方案；③方案针对性；④施工段划分，根据施工整体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项目整体施工方案2</w:t>
            </w:r>
          </w:p>
        </w:tc>
        <w:tc>
          <w:tcPr>
            <w:tcW w:type="dxa" w:w="2492"/>
          </w:tcPr>
          <w:p>
            <w:pPr>
              <w:pStyle w:val="null3"/>
            </w:pPr>
            <w:r>
              <w:rPr>
                <w:rFonts w:ascii="仿宋_GB2312" w:hAnsi="仿宋_GB2312" w:cs="仿宋_GB2312" w:eastAsia="仿宋_GB2312"/>
              </w:rPr>
              <w:t>2.根据供应商提供的确保工程质量的技术组织措施，包括但不限于：①质量体系；②质量保证措施，根据工程质量的技术组织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项目整体施工方案3</w:t>
            </w:r>
          </w:p>
        </w:tc>
        <w:tc>
          <w:tcPr>
            <w:tcW w:type="dxa" w:w="2492"/>
          </w:tcPr>
          <w:p>
            <w:pPr>
              <w:pStyle w:val="null3"/>
            </w:pPr>
            <w:r>
              <w:rPr>
                <w:rFonts w:ascii="仿宋_GB2312" w:hAnsi="仿宋_GB2312" w:cs="仿宋_GB2312" w:eastAsia="仿宋_GB2312"/>
              </w:rPr>
              <w:t>3.根据供应商提供的项目工期的技术组织措施，包括但不限于：①工期进度计划；②进度表；③工程工期保障措施，根据工期的技术组织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项目整体施工方案4</w:t>
            </w:r>
          </w:p>
        </w:tc>
        <w:tc>
          <w:tcPr>
            <w:tcW w:type="dxa" w:w="2492"/>
          </w:tcPr>
          <w:p>
            <w:pPr>
              <w:pStyle w:val="null3"/>
            </w:pPr>
            <w:r>
              <w:rPr>
                <w:rFonts w:ascii="仿宋_GB2312" w:hAnsi="仿宋_GB2312" w:cs="仿宋_GB2312" w:eastAsia="仿宋_GB2312"/>
              </w:rPr>
              <w:t>4.根据供应商提供的安全文明施工措施及环境保护措施，包括但不限于：①安全文明施工措施；②安全文明管理体系；③环境保护措施；④环境保护体系，根据安全文明施工措施及环境保护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项目整体施工方案5</w:t>
            </w:r>
          </w:p>
        </w:tc>
        <w:tc>
          <w:tcPr>
            <w:tcW w:type="dxa" w:w="2492"/>
          </w:tcPr>
          <w:p>
            <w:pPr>
              <w:pStyle w:val="null3"/>
            </w:pPr>
            <w:r>
              <w:rPr>
                <w:rFonts w:ascii="仿宋_GB2312" w:hAnsi="仿宋_GB2312" w:cs="仿宋_GB2312" w:eastAsia="仿宋_GB2312"/>
              </w:rPr>
              <w:t>5.根据供应商提供的关键施工技术、工艺及工程实施的重点、难点和解决方案，包括但不限于：①本工程的关键施工技术、工艺；②本工程的重点、难点；③重点、难点解决方案，根据关键施工技术、工艺及工程实施的重点、难点和解决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项目整体施工方案6</w:t>
            </w:r>
          </w:p>
        </w:tc>
        <w:tc>
          <w:tcPr>
            <w:tcW w:type="dxa" w:w="2492"/>
          </w:tcPr>
          <w:p>
            <w:pPr>
              <w:pStyle w:val="null3"/>
            </w:pPr>
            <w:r>
              <w:rPr>
                <w:rFonts w:ascii="仿宋_GB2312" w:hAnsi="仿宋_GB2312" w:cs="仿宋_GB2312" w:eastAsia="仿宋_GB2312"/>
              </w:rPr>
              <w:t>6.根据供应商提供的针对本项目的机械设备和材料投入计划及保证措施，包括但不限于：①机械设备和材料投入计划；②保证措施，根据所提供的机械设备和材料投入计划及保证措施内容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项目整体施工方案7</w:t>
            </w:r>
          </w:p>
        </w:tc>
        <w:tc>
          <w:tcPr>
            <w:tcW w:type="dxa" w:w="2492"/>
          </w:tcPr>
          <w:p>
            <w:pPr>
              <w:pStyle w:val="null3"/>
            </w:pPr>
            <w:r>
              <w:rPr>
                <w:rFonts w:ascii="仿宋_GB2312" w:hAnsi="仿宋_GB2312" w:cs="仿宋_GB2312" w:eastAsia="仿宋_GB2312"/>
              </w:rPr>
              <w:t>7.根据供应商提供的工程验收方案的科学合理性、内容表述清晰，各项内容的完整性、针对性等角度考量，最高得6分；若上述内容存在缺陷，每出现一处缺陷扣1分，扣完为止。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项目整体施工方案8</w:t>
            </w:r>
          </w:p>
        </w:tc>
        <w:tc>
          <w:tcPr>
            <w:tcW w:type="dxa" w:w="2492"/>
          </w:tcPr>
          <w:p>
            <w:pPr>
              <w:pStyle w:val="null3"/>
            </w:pPr>
            <w:r>
              <w:rPr>
                <w:rFonts w:ascii="仿宋_GB2312" w:hAnsi="仿宋_GB2312" w:cs="仿宋_GB2312" w:eastAsia="仿宋_GB2312"/>
              </w:rPr>
              <w:t>8.根据供应商提供突发、应急事项处理举措的科学合理性、内容表述清晰，各项内容的完整性、针对性等角度考量，最高得6分；若上述内容存在缺陷，每出现一处缺陷扣1分，扣完为止。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报价。综合评分法中的价格分统一采用低价优先法计算，即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详见附件：项目整体施工方案.docx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