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B22D86">
      <w:pPr>
        <w:spacing w:before="0" w:after="0" w:line="360" w:lineRule="auto"/>
        <w:jc w:val="center"/>
        <w:outlineLvl w:val="0"/>
        <w:rPr>
          <w:rFonts w:hint="eastAsia" w:asciiTheme="majorEastAsia" w:hAnsiTheme="majorEastAsia" w:eastAsiaTheme="majorEastAsia" w:cstheme="majorEastAsia"/>
          <w:b/>
          <w:bCs/>
          <w:sz w:val="32"/>
          <w:szCs w:val="40"/>
          <w:highlight w:val="none"/>
          <w:lang w:val="en-US" w:eastAsia="zh-CN"/>
        </w:rPr>
      </w:pPr>
      <w:r>
        <w:rPr>
          <w:rFonts w:hint="eastAsia" w:asciiTheme="majorEastAsia" w:hAnsiTheme="majorEastAsia" w:eastAsiaTheme="majorEastAsia" w:cstheme="majorEastAsia"/>
          <w:b/>
          <w:bCs/>
          <w:sz w:val="32"/>
          <w:szCs w:val="40"/>
          <w:highlight w:val="none"/>
          <w:lang w:val="en-US" w:eastAsia="zh-CN"/>
        </w:rPr>
        <w:t>拟签订的合同文本</w:t>
      </w:r>
    </w:p>
    <w:p w14:paraId="6F4C86C0">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rPr>
          <w:rFonts w:hint="eastAsia" w:asciiTheme="majorEastAsia" w:hAnsiTheme="majorEastAsia" w:eastAsiaTheme="majorEastAsia" w:cstheme="majorEastAsia"/>
          <w:color w:val="000000"/>
        </w:rPr>
      </w:pPr>
    </w:p>
    <w:p w14:paraId="7CBD2F40">
      <w:pPr>
        <w:spacing w:line="360" w:lineRule="auto"/>
        <w:ind w:firstLine="482" w:firstLineChars="200"/>
        <w:outlineLvl w:val="9"/>
        <w:rPr>
          <w:rFonts w:hint="eastAsia" w:ascii="宋体" w:hAnsi="宋体" w:eastAsia="宋体" w:cs="宋体"/>
          <w:bCs/>
          <w:sz w:val="24"/>
          <w:szCs w:val="24"/>
          <w:highlight w:val="none"/>
        </w:rPr>
      </w:pPr>
      <w:r>
        <w:rPr>
          <w:rFonts w:hint="eastAsia" w:ascii="宋体" w:hAnsi="宋体" w:eastAsia="宋体" w:cs="宋体"/>
          <w:b/>
          <w:sz w:val="24"/>
          <w:szCs w:val="24"/>
          <w:highlight w:val="none"/>
        </w:rPr>
        <w:t>（</w:t>
      </w:r>
      <w:r>
        <w:rPr>
          <w:rFonts w:hint="eastAsia" w:ascii="宋体" w:hAnsi="宋体" w:eastAsia="宋体" w:cs="宋体"/>
          <w:b/>
          <w:sz w:val="24"/>
          <w:szCs w:val="24"/>
          <w:highlight w:val="none"/>
          <w:lang w:val="en-US" w:eastAsia="zh-CN"/>
        </w:rPr>
        <w:t>合同签订时</w:t>
      </w:r>
      <w:r>
        <w:rPr>
          <w:rFonts w:hint="eastAsia" w:ascii="宋体" w:hAnsi="宋体" w:cs="宋体"/>
          <w:b/>
          <w:sz w:val="24"/>
          <w:szCs w:val="24"/>
          <w:highlight w:val="none"/>
          <w:lang w:val="en-US" w:eastAsia="zh-CN"/>
        </w:rPr>
        <w:t>采购人</w:t>
      </w:r>
      <w:r>
        <w:rPr>
          <w:rFonts w:hint="eastAsia" w:ascii="宋体" w:hAnsi="宋体" w:eastAsia="宋体" w:cs="宋体"/>
          <w:b/>
          <w:sz w:val="24"/>
          <w:szCs w:val="24"/>
          <w:highlight w:val="none"/>
          <w:lang w:val="en-US" w:eastAsia="zh-CN"/>
        </w:rPr>
        <w:t>有权根据</w:t>
      </w:r>
      <w:r>
        <w:rPr>
          <w:rFonts w:hint="eastAsia" w:ascii="宋体" w:hAnsi="宋体" w:cs="宋体"/>
          <w:b/>
          <w:sz w:val="24"/>
          <w:szCs w:val="24"/>
          <w:highlight w:val="none"/>
          <w:lang w:val="en-US" w:eastAsia="zh-CN"/>
        </w:rPr>
        <w:t>供应商响应文件</w:t>
      </w:r>
      <w:r>
        <w:rPr>
          <w:rFonts w:hint="eastAsia" w:ascii="宋体" w:hAnsi="宋体" w:eastAsia="宋体" w:cs="宋体"/>
          <w:b/>
          <w:sz w:val="24"/>
          <w:szCs w:val="24"/>
          <w:highlight w:val="none"/>
          <w:lang w:val="en-US" w:eastAsia="zh-CN"/>
        </w:rPr>
        <w:t>中的内容及承诺对合同内容进行补充和完善</w:t>
      </w:r>
      <w:r>
        <w:rPr>
          <w:rFonts w:hint="eastAsia" w:ascii="宋体" w:hAnsi="宋体" w:eastAsia="宋体" w:cs="宋体"/>
          <w:b/>
          <w:sz w:val="24"/>
          <w:szCs w:val="24"/>
          <w:highlight w:val="none"/>
        </w:rPr>
        <w:t>）</w:t>
      </w:r>
    </w:p>
    <w:p w14:paraId="2A64F7BB">
      <w:pPr>
        <w:pStyle w:val="2"/>
        <w:rPr>
          <w:rFonts w:hint="eastAsia"/>
          <w:highlight w:val="none"/>
        </w:rPr>
      </w:pPr>
    </w:p>
    <w:p w14:paraId="323BB8B5">
      <w:pPr>
        <w:pStyle w:val="3"/>
      </w:pPr>
    </w:p>
    <w:p w14:paraId="5D20BCAA">
      <w:pPr>
        <w:pStyle w:val="2"/>
        <w:spacing w:line="600" w:lineRule="auto"/>
        <w:jc w:val="center"/>
        <w:rPr>
          <w:rFonts w:hint="eastAsia" w:ascii="宋体" w:hAnsi="宋体" w:cs="宋体"/>
          <w:b/>
          <w:bCs/>
          <w:sz w:val="48"/>
          <w:szCs w:val="56"/>
          <w:highlight w:val="none"/>
          <w:lang w:eastAsia="zh-CN"/>
        </w:rPr>
      </w:pPr>
      <w:r>
        <w:rPr>
          <w:rFonts w:hint="eastAsia" w:ascii="宋体" w:hAnsi="宋体" w:cs="宋体"/>
          <w:b/>
          <w:bCs/>
          <w:sz w:val="48"/>
          <w:szCs w:val="56"/>
          <w:highlight w:val="none"/>
          <w:lang w:eastAsia="zh-CN"/>
        </w:rPr>
        <w:t>2025年略阳县仙台坝镇</w:t>
      </w:r>
    </w:p>
    <w:p w14:paraId="20540DCD">
      <w:pPr>
        <w:pStyle w:val="2"/>
        <w:spacing w:line="600" w:lineRule="auto"/>
        <w:jc w:val="center"/>
        <w:rPr>
          <w:rFonts w:hint="eastAsia" w:eastAsia="宋体"/>
          <w:highlight w:val="none"/>
          <w:lang w:eastAsia="zh-CN"/>
        </w:rPr>
      </w:pPr>
      <w:r>
        <w:rPr>
          <w:rFonts w:hint="eastAsia" w:ascii="宋体" w:hAnsi="宋体" w:cs="宋体"/>
          <w:b/>
          <w:bCs/>
          <w:sz w:val="48"/>
          <w:szCs w:val="56"/>
          <w:highlight w:val="none"/>
          <w:lang w:eastAsia="zh-CN"/>
        </w:rPr>
        <w:t>仙台冷水鱼养殖项目</w:t>
      </w:r>
    </w:p>
    <w:p w14:paraId="34F61E82">
      <w:pPr>
        <w:spacing w:line="360" w:lineRule="auto"/>
        <w:rPr>
          <w:highlight w:val="none"/>
        </w:rPr>
      </w:pPr>
    </w:p>
    <w:p w14:paraId="7D4A039C">
      <w:pPr>
        <w:pStyle w:val="2"/>
        <w:spacing w:line="360" w:lineRule="auto"/>
        <w:rPr>
          <w:highlight w:val="none"/>
        </w:rPr>
      </w:pPr>
    </w:p>
    <w:p w14:paraId="333276B6"/>
    <w:p w14:paraId="0A74A04A">
      <w:pPr>
        <w:pStyle w:val="3"/>
        <w:rPr>
          <w:highlight w:val="none"/>
        </w:rPr>
      </w:pPr>
    </w:p>
    <w:p w14:paraId="7041D784">
      <w:pPr>
        <w:pStyle w:val="3"/>
        <w:rPr>
          <w:highlight w:val="none"/>
        </w:rPr>
      </w:pPr>
    </w:p>
    <w:p w14:paraId="355BE5DC">
      <w:pPr>
        <w:spacing w:line="360" w:lineRule="auto"/>
        <w:rPr>
          <w:highlight w:val="none"/>
        </w:rPr>
      </w:pPr>
    </w:p>
    <w:p w14:paraId="25C9EA7E">
      <w:pPr>
        <w:spacing w:line="360" w:lineRule="auto"/>
        <w:jc w:val="center"/>
        <w:rPr>
          <w:rFonts w:hint="eastAsia" w:ascii="宋体" w:hAnsi="宋体" w:eastAsia="宋体" w:cs="宋体"/>
          <w:b/>
          <w:bCs/>
          <w:kern w:val="2"/>
          <w:sz w:val="48"/>
          <w:szCs w:val="56"/>
          <w:highlight w:val="none"/>
          <w:lang w:val="en-US" w:eastAsia="zh-CN" w:bidi="ar-SA"/>
        </w:rPr>
      </w:pPr>
      <w:r>
        <w:rPr>
          <w:rFonts w:hint="eastAsia" w:ascii="宋体" w:hAnsi="宋体" w:eastAsia="宋体" w:cs="宋体"/>
          <w:b/>
          <w:bCs/>
          <w:kern w:val="2"/>
          <w:sz w:val="60"/>
          <w:szCs w:val="96"/>
          <w:highlight w:val="none"/>
          <w:lang w:val="en-US" w:eastAsia="zh-CN" w:bidi="ar-SA"/>
        </w:rPr>
        <w:t>施工合同</w:t>
      </w:r>
    </w:p>
    <w:p w14:paraId="5B862DD1">
      <w:pPr>
        <w:spacing w:line="360" w:lineRule="auto"/>
        <w:jc w:val="left"/>
        <w:rPr>
          <w:highlight w:val="none"/>
        </w:rPr>
      </w:pPr>
    </w:p>
    <w:p w14:paraId="3E7CCA13">
      <w:pPr>
        <w:pStyle w:val="2"/>
        <w:rPr>
          <w:highlight w:val="none"/>
        </w:rPr>
      </w:pPr>
    </w:p>
    <w:p w14:paraId="18D9B3B8">
      <w:pPr>
        <w:rPr>
          <w:highlight w:val="none"/>
        </w:rPr>
      </w:pPr>
    </w:p>
    <w:p w14:paraId="1CDE7AB3">
      <w:pPr>
        <w:pStyle w:val="3"/>
        <w:ind w:left="0" w:leftChars="0" w:firstLine="0" w:firstLineChars="0"/>
        <w:rPr>
          <w:highlight w:val="none"/>
        </w:rPr>
      </w:pPr>
    </w:p>
    <w:p w14:paraId="6F4EA08C">
      <w:pPr>
        <w:rPr>
          <w:highlight w:val="none"/>
        </w:rPr>
      </w:pPr>
    </w:p>
    <w:p w14:paraId="645EEE87">
      <w:pPr>
        <w:pStyle w:val="3"/>
      </w:pPr>
    </w:p>
    <w:p w14:paraId="37793242">
      <w:pPr>
        <w:rPr>
          <w:highlight w:val="none"/>
        </w:rPr>
      </w:pPr>
    </w:p>
    <w:p w14:paraId="0701B23E">
      <w:pPr>
        <w:rPr>
          <w:highlight w:val="none"/>
        </w:rPr>
      </w:pPr>
    </w:p>
    <w:p w14:paraId="3EE70F2E">
      <w:pPr>
        <w:spacing w:line="600" w:lineRule="auto"/>
        <w:ind w:firstLine="1807" w:firstLineChars="500"/>
        <w:jc w:val="both"/>
        <w:rPr>
          <w:rFonts w:hint="eastAsia" w:ascii="黑体" w:hAnsi="黑体" w:eastAsia="黑体" w:cs="Times New Roman"/>
          <w:sz w:val="36"/>
          <w:szCs w:val="36"/>
          <w:highlight w:val="none"/>
          <w:u w:val="single"/>
          <w:lang w:val="en-US" w:eastAsia="zh-CN"/>
        </w:rPr>
      </w:pPr>
      <w:r>
        <w:rPr>
          <w:rFonts w:hint="eastAsia" w:ascii="宋体" w:hAnsi="宋体" w:eastAsia="宋体" w:cs="宋体"/>
          <w:b/>
          <w:bCs/>
          <w:kern w:val="2"/>
          <w:sz w:val="36"/>
          <w:szCs w:val="44"/>
          <w:highlight w:val="none"/>
          <w:lang w:val="en-US" w:eastAsia="zh-CN" w:bidi="ar-SA"/>
        </w:rPr>
        <w:t>甲方名称：</w:t>
      </w:r>
      <w:r>
        <w:rPr>
          <w:rFonts w:hint="eastAsia" w:ascii="黑体" w:hAnsi="黑体" w:eastAsia="黑体" w:cs="Times New Roman"/>
          <w:sz w:val="36"/>
          <w:szCs w:val="36"/>
          <w:highlight w:val="none"/>
          <w:u w:val="single"/>
          <w:lang w:val="en-US" w:eastAsia="zh-CN"/>
        </w:rPr>
        <w:t xml:space="preserve">                 </w:t>
      </w:r>
    </w:p>
    <w:p w14:paraId="17FDE783">
      <w:pPr>
        <w:spacing w:line="600" w:lineRule="auto"/>
        <w:ind w:firstLine="1807" w:firstLineChars="500"/>
        <w:jc w:val="both"/>
        <w:rPr>
          <w:rFonts w:hint="default" w:ascii="黑体" w:hAnsi="黑体" w:eastAsia="黑体" w:cs="Times New Roman"/>
          <w:sz w:val="36"/>
          <w:szCs w:val="36"/>
          <w:highlight w:val="none"/>
          <w:u w:val="single"/>
          <w:lang w:val="en-US" w:eastAsia="zh-CN"/>
        </w:rPr>
      </w:pPr>
      <w:r>
        <w:rPr>
          <w:rFonts w:hint="eastAsia" w:ascii="宋体" w:hAnsi="宋体" w:eastAsia="宋体" w:cs="宋体"/>
          <w:b/>
          <w:bCs/>
          <w:kern w:val="2"/>
          <w:sz w:val="36"/>
          <w:szCs w:val="44"/>
          <w:highlight w:val="none"/>
          <w:lang w:val="en-US" w:eastAsia="zh-CN" w:bidi="ar-SA"/>
        </w:rPr>
        <w:t>乙方名称：</w:t>
      </w:r>
      <w:r>
        <w:rPr>
          <w:rFonts w:hint="eastAsia" w:ascii="黑体" w:hAnsi="黑体" w:eastAsia="黑体" w:cs="Times New Roman"/>
          <w:sz w:val="36"/>
          <w:szCs w:val="36"/>
          <w:highlight w:val="none"/>
          <w:u w:val="single"/>
          <w:lang w:val="en-US" w:eastAsia="zh-CN"/>
        </w:rPr>
        <w:t xml:space="preserve">                 </w:t>
      </w:r>
    </w:p>
    <w:p w14:paraId="7CB9A2CA">
      <w:pPr>
        <w:spacing w:line="600" w:lineRule="auto"/>
        <w:jc w:val="center"/>
        <w:rPr>
          <w:rFonts w:hint="eastAsia" w:ascii="黑体" w:hAnsi="黑体" w:eastAsia="黑体"/>
          <w:sz w:val="36"/>
          <w:szCs w:val="36"/>
          <w:highlight w:val="none"/>
        </w:rPr>
      </w:pPr>
      <w:r>
        <w:rPr>
          <w:rFonts w:hint="eastAsia" w:ascii="宋体" w:hAnsi="宋体" w:eastAsia="宋体" w:cs="宋体"/>
          <w:b/>
          <w:bCs/>
          <w:kern w:val="2"/>
          <w:sz w:val="36"/>
          <w:szCs w:val="44"/>
          <w:highlight w:val="none"/>
          <w:lang w:val="en-US" w:eastAsia="zh-CN" w:bidi="ar-SA"/>
        </w:rPr>
        <w:t>签订日期：</w:t>
      </w:r>
      <w:r>
        <w:rPr>
          <w:rFonts w:hint="eastAsia" w:ascii="宋体" w:hAnsi="宋体" w:eastAsia="宋体" w:cs="宋体"/>
          <w:sz w:val="36"/>
          <w:szCs w:val="36"/>
          <w:highlight w:val="none"/>
          <w:u w:val="single"/>
        </w:rPr>
        <w:t>2025</w:t>
      </w:r>
      <w:r>
        <w:rPr>
          <w:rFonts w:hint="eastAsia" w:ascii="宋体" w:hAnsi="宋体" w:eastAsia="宋体" w:cs="宋体"/>
          <w:sz w:val="36"/>
          <w:szCs w:val="36"/>
          <w:highlight w:val="none"/>
        </w:rPr>
        <w:t>年</w:t>
      </w:r>
      <w:r>
        <w:rPr>
          <w:rFonts w:hint="eastAsia" w:ascii="宋体" w:hAnsi="宋体" w:eastAsia="宋体" w:cs="宋体"/>
          <w:sz w:val="36"/>
          <w:szCs w:val="36"/>
          <w:highlight w:val="none"/>
          <w:u w:val="single"/>
        </w:rPr>
        <w:t xml:space="preserve">   </w:t>
      </w:r>
      <w:r>
        <w:rPr>
          <w:rFonts w:hint="eastAsia" w:ascii="宋体" w:hAnsi="宋体" w:eastAsia="宋体" w:cs="宋体"/>
          <w:sz w:val="36"/>
          <w:szCs w:val="36"/>
          <w:highlight w:val="none"/>
        </w:rPr>
        <w:t>月</w:t>
      </w:r>
      <w:r>
        <w:rPr>
          <w:rFonts w:hint="eastAsia" w:ascii="宋体" w:hAnsi="宋体" w:eastAsia="宋体" w:cs="宋体"/>
          <w:sz w:val="36"/>
          <w:szCs w:val="36"/>
          <w:highlight w:val="none"/>
          <w:u w:val="single"/>
        </w:rPr>
        <w:t xml:space="preserve">   </w:t>
      </w:r>
      <w:r>
        <w:rPr>
          <w:rFonts w:hint="eastAsia" w:ascii="宋体" w:hAnsi="宋体" w:eastAsia="宋体" w:cs="宋体"/>
          <w:sz w:val="36"/>
          <w:szCs w:val="36"/>
          <w:highlight w:val="none"/>
        </w:rPr>
        <w:t>日</w:t>
      </w:r>
    </w:p>
    <w:p w14:paraId="3E8A5302">
      <w:pPr>
        <w:pStyle w:val="3"/>
        <w:rPr>
          <w:rFonts w:hint="eastAsia" w:ascii="黑体" w:hAnsi="黑体" w:eastAsia="黑体"/>
          <w:sz w:val="36"/>
          <w:szCs w:val="36"/>
          <w:highlight w:val="none"/>
        </w:rPr>
        <w:sectPr>
          <w:headerReference r:id="rId3" w:type="default"/>
          <w:footerReference r:id="rId4" w:type="default"/>
          <w:pgSz w:w="11906" w:h="16838"/>
          <w:pgMar w:top="1134" w:right="1701" w:bottom="1134" w:left="1701" w:header="851" w:footer="624" w:gutter="0"/>
          <w:pgNumType w:fmt="decimal"/>
          <w:cols w:space="720" w:num="1"/>
          <w:docGrid w:type="lines" w:linePitch="312" w:charSpace="0"/>
        </w:sectPr>
      </w:pPr>
    </w:p>
    <w:p w14:paraId="7D37BB88">
      <w:pPr>
        <w:pageBreakBefore w:val="0"/>
        <w:widowControl w:val="0"/>
        <w:kinsoku/>
        <w:wordWrap/>
        <w:overflowPunct/>
        <w:topLinePunct w:val="0"/>
        <w:autoSpaceDE/>
        <w:autoSpaceDN/>
        <w:bidi w:val="0"/>
        <w:adjustRightInd w:val="0"/>
        <w:snapToGrid w:val="0"/>
        <w:spacing w:line="360" w:lineRule="auto"/>
        <w:ind w:left="0" w:firstLine="482" w:firstLineChars="200"/>
        <w:textAlignment w:val="auto"/>
        <w:rPr>
          <w:rFonts w:hint="default" w:ascii="宋体" w:hAnsi="宋体" w:eastAsia="宋体" w:cs="宋体"/>
          <w:b/>
          <w:bCs/>
          <w:sz w:val="24"/>
          <w:szCs w:val="24"/>
          <w:highlight w:val="none"/>
          <w:u w:val="single"/>
          <w:lang w:val="en-US" w:eastAsia="zh-CN"/>
        </w:rPr>
      </w:pPr>
      <w:r>
        <w:rPr>
          <w:rFonts w:hint="eastAsia" w:ascii="宋体" w:hAnsi="宋体" w:eastAsia="宋体" w:cs="宋体"/>
          <w:b/>
          <w:bCs/>
          <w:sz w:val="24"/>
          <w:szCs w:val="24"/>
          <w:highlight w:val="none"/>
        </w:rPr>
        <w:t>甲方：</w:t>
      </w:r>
      <w:r>
        <w:rPr>
          <w:rFonts w:hint="eastAsia" w:ascii="宋体" w:hAnsi="宋体" w:cs="宋体"/>
          <w:b/>
          <w:bCs/>
          <w:sz w:val="24"/>
          <w:szCs w:val="24"/>
          <w:highlight w:val="none"/>
          <w:u w:val="single"/>
          <w:lang w:val="en-US" w:eastAsia="zh-CN"/>
        </w:rPr>
        <w:t xml:space="preserve">                      </w:t>
      </w:r>
    </w:p>
    <w:p w14:paraId="2CCEFBF1">
      <w:pPr>
        <w:pageBreakBefore w:val="0"/>
        <w:widowControl w:val="0"/>
        <w:kinsoku/>
        <w:wordWrap/>
        <w:overflowPunct/>
        <w:topLinePunct w:val="0"/>
        <w:autoSpaceDE/>
        <w:autoSpaceDN/>
        <w:bidi w:val="0"/>
        <w:adjustRightInd w:val="0"/>
        <w:snapToGrid w:val="0"/>
        <w:spacing w:line="360" w:lineRule="auto"/>
        <w:ind w:left="0" w:firstLine="482" w:firstLineChars="200"/>
        <w:textAlignment w:val="auto"/>
        <w:rPr>
          <w:rFonts w:hint="eastAsia" w:ascii="宋体" w:hAnsi="宋体" w:eastAsia="宋体" w:cs="宋体"/>
          <w:b/>
          <w:bCs/>
          <w:sz w:val="24"/>
          <w:szCs w:val="24"/>
          <w:highlight w:val="none"/>
          <w:u w:val="single"/>
        </w:rPr>
      </w:pPr>
      <w:r>
        <w:rPr>
          <w:rFonts w:hint="eastAsia" w:ascii="宋体" w:hAnsi="宋体" w:eastAsia="宋体" w:cs="宋体"/>
          <w:b/>
          <w:bCs/>
          <w:sz w:val="24"/>
          <w:szCs w:val="24"/>
          <w:highlight w:val="none"/>
        </w:rPr>
        <w:t>乙方：</w:t>
      </w:r>
      <w:r>
        <w:rPr>
          <w:rFonts w:hint="eastAsia" w:ascii="宋体" w:hAnsi="宋体" w:eastAsia="宋体" w:cs="宋体"/>
          <w:b/>
          <w:bCs/>
          <w:sz w:val="24"/>
          <w:szCs w:val="24"/>
          <w:highlight w:val="none"/>
          <w:u w:val="single"/>
        </w:rPr>
        <w:t xml:space="preserve">          </w:t>
      </w:r>
      <w:r>
        <w:rPr>
          <w:rFonts w:hint="eastAsia" w:ascii="宋体" w:hAnsi="宋体" w:eastAsia="宋体" w:cs="宋体"/>
          <w:b/>
          <w:bCs/>
          <w:sz w:val="24"/>
          <w:szCs w:val="24"/>
          <w:highlight w:val="none"/>
          <w:u w:val="single"/>
          <w:lang w:val="en-US" w:eastAsia="zh-CN"/>
        </w:rPr>
        <w:t xml:space="preserve">          </w:t>
      </w:r>
      <w:r>
        <w:rPr>
          <w:rFonts w:hint="eastAsia" w:ascii="宋体" w:hAnsi="宋体" w:eastAsia="宋体" w:cs="宋体"/>
          <w:b/>
          <w:bCs/>
          <w:sz w:val="24"/>
          <w:szCs w:val="24"/>
          <w:highlight w:val="none"/>
          <w:u w:val="single"/>
        </w:rPr>
        <w:t xml:space="preserve">  </w:t>
      </w:r>
    </w:p>
    <w:p w14:paraId="0BFB147E">
      <w:pPr>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为了维护甲乙双方权益，依据《中华人民共和国民法典》及相关法律、行政法规和政府采购招投标管理办法，按照公开、公正、平等、自愿的原则，在充分协商一致的基础上，特订立本合同，以资共同遵守。</w:t>
      </w:r>
    </w:p>
    <w:p w14:paraId="74C1C666">
      <w:pPr>
        <w:pageBreakBefore w:val="0"/>
        <w:widowControl w:val="0"/>
        <w:kinsoku/>
        <w:wordWrap/>
        <w:overflowPunct/>
        <w:topLinePunct w:val="0"/>
        <w:autoSpaceDE/>
        <w:autoSpaceDN/>
        <w:bidi w:val="0"/>
        <w:adjustRightInd w:val="0"/>
        <w:snapToGrid w:val="0"/>
        <w:spacing w:line="360" w:lineRule="auto"/>
        <w:ind w:left="0"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一、工程概况：</w:t>
      </w:r>
    </w:p>
    <w:p w14:paraId="3CA35ED7">
      <w:pPr>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highlight w:val="none"/>
          <w:u w:val="single"/>
          <w:lang w:eastAsia="zh-CN"/>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工程名称：</w:t>
      </w:r>
      <w:r>
        <w:rPr>
          <w:rFonts w:hint="eastAsia" w:ascii="宋体" w:hAnsi="宋体" w:cs="宋体"/>
          <w:sz w:val="24"/>
          <w:szCs w:val="24"/>
          <w:highlight w:val="none"/>
          <w:u w:val="single"/>
          <w:lang w:eastAsia="zh-CN"/>
        </w:rPr>
        <w:t>2025年略阳县仙台坝镇仙台冷水鱼养殖项目</w:t>
      </w:r>
    </w:p>
    <w:p w14:paraId="37B17FC0">
      <w:pPr>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工程地点：</w:t>
      </w:r>
      <w:r>
        <w:rPr>
          <w:rFonts w:hint="eastAsia" w:ascii="宋体" w:hAnsi="宋体" w:eastAsia="宋体" w:cs="宋体"/>
          <w:sz w:val="24"/>
          <w:szCs w:val="24"/>
          <w:highlight w:val="none"/>
          <w:u w:val="single"/>
        </w:rPr>
        <w:t>略阳县仙台坝镇</w:t>
      </w:r>
      <w:r>
        <w:rPr>
          <w:rFonts w:hint="eastAsia" w:ascii="宋体" w:hAnsi="宋体" w:eastAsia="宋体" w:cs="宋体"/>
          <w:sz w:val="24"/>
          <w:szCs w:val="24"/>
          <w:highlight w:val="none"/>
        </w:rPr>
        <w:t>。</w:t>
      </w:r>
    </w:p>
    <w:p w14:paraId="7829302E">
      <w:pPr>
        <w:pageBreakBefore w:val="0"/>
        <w:widowControl w:val="0"/>
        <w:kinsoku/>
        <w:wordWrap/>
        <w:overflowPunct/>
        <w:topLinePunct w:val="0"/>
        <w:autoSpaceDE/>
        <w:autoSpaceDN/>
        <w:bidi w:val="0"/>
        <w:adjustRightInd w:val="0"/>
        <w:snapToGrid w:val="0"/>
        <w:spacing w:line="360" w:lineRule="auto"/>
        <w:ind w:left="0"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二、工程内容、数量及技术要求：</w:t>
      </w:r>
    </w:p>
    <w:p w14:paraId="47019212">
      <w:pPr>
        <w:pageBreakBefore w:val="0"/>
        <w:widowControl w:val="0"/>
        <w:kinsoku/>
        <w:wordWrap/>
        <w:overflowPunct/>
        <w:topLinePunct w:val="0"/>
        <w:autoSpaceDE/>
        <w:autoSpaceDN/>
        <w:bidi w:val="0"/>
        <w:adjustRightInd w:val="0"/>
        <w:snapToGrid w:val="0"/>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（详见采购要求）</w:t>
      </w:r>
    </w:p>
    <w:p w14:paraId="3F469315">
      <w:pPr>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b/>
          <w:sz w:val="24"/>
          <w:szCs w:val="24"/>
          <w:highlight w:val="none"/>
        </w:rPr>
      </w:pPr>
      <w:r>
        <w:rPr>
          <w:rFonts w:hint="eastAsia" w:ascii="宋体" w:hAnsi="宋体" w:eastAsia="宋体" w:cs="宋体"/>
          <w:sz w:val="24"/>
          <w:szCs w:val="24"/>
          <w:highlight w:val="none"/>
        </w:rPr>
        <w:t>三</w:t>
      </w:r>
      <w:r>
        <w:rPr>
          <w:rFonts w:hint="eastAsia" w:ascii="宋体" w:hAnsi="宋体" w:eastAsia="宋体" w:cs="宋体"/>
          <w:b/>
          <w:sz w:val="24"/>
          <w:szCs w:val="24"/>
          <w:highlight w:val="none"/>
        </w:rPr>
        <w:t>、合同价款：</w:t>
      </w:r>
    </w:p>
    <w:p w14:paraId="206F0D1A">
      <w:pPr>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合同暂定价款：</w:t>
      </w:r>
      <w:r>
        <w:rPr>
          <w:rFonts w:hint="eastAsia" w:ascii="宋体" w:hAnsi="宋体" w:eastAsia="宋体" w:cs="宋体"/>
          <w:color w:val="000000"/>
          <w:sz w:val="24"/>
          <w:szCs w:val="24"/>
          <w:highlight w:val="none"/>
        </w:rPr>
        <w:t>为</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none"/>
        </w:rPr>
        <w:t>元</w:t>
      </w:r>
      <w:r>
        <w:rPr>
          <w:rFonts w:hint="eastAsia" w:ascii="宋体" w:hAnsi="宋体" w:eastAsia="宋体" w:cs="宋体"/>
          <w:color w:val="000000"/>
          <w:sz w:val="24"/>
          <w:szCs w:val="24"/>
          <w:highlight w:val="none"/>
        </w:rPr>
        <w:t>（大写：</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w:t>
      </w:r>
    </w:p>
    <w:p w14:paraId="0EC5699C">
      <w:pPr>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本工程为固定综合单价合同，本合同执行乙方</w:t>
      </w:r>
      <w:r>
        <w:rPr>
          <w:rFonts w:hint="eastAsia" w:ascii="宋体" w:hAnsi="宋体" w:eastAsia="宋体" w:cs="宋体"/>
          <w:sz w:val="24"/>
          <w:szCs w:val="24"/>
          <w:highlight w:val="none"/>
          <w:lang w:eastAsia="zh-CN"/>
        </w:rPr>
        <w:t>报价</w:t>
      </w:r>
      <w:r>
        <w:rPr>
          <w:rFonts w:hint="eastAsia" w:ascii="宋体" w:hAnsi="宋体" w:eastAsia="宋体" w:cs="宋体"/>
          <w:sz w:val="24"/>
          <w:szCs w:val="24"/>
          <w:highlight w:val="none"/>
        </w:rPr>
        <w:t>优惠后中标固定综合单价。综合单价内含人工费、</w:t>
      </w:r>
      <w:r>
        <w:rPr>
          <w:rFonts w:hint="eastAsia" w:ascii="宋体" w:hAnsi="宋体" w:eastAsia="宋体" w:cs="宋体"/>
          <w:bCs/>
          <w:sz w:val="24"/>
          <w:szCs w:val="24"/>
          <w:highlight w:val="none"/>
        </w:rPr>
        <w:t>主辅材费</w:t>
      </w:r>
      <w:r>
        <w:rPr>
          <w:rFonts w:hint="eastAsia" w:ascii="宋体" w:hAnsi="宋体" w:eastAsia="宋体" w:cs="宋体"/>
          <w:sz w:val="24"/>
          <w:szCs w:val="24"/>
          <w:highlight w:val="none"/>
        </w:rPr>
        <w:t>、机械费、管理费、利润、安全文明施工费、措施费、规费、税金、风险费等及与施工相关的一切费用；中标固定综合单价不因国家法律、行政法规和国家政策变化及原材料市场价发生变化等进行调整；合同工程量为暂定量，结算工程量根据现场实际发生量据实结算，工程造价最终以审计结算结果为准。</w:t>
      </w:r>
    </w:p>
    <w:p w14:paraId="2E6596C9">
      <w:pPr>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因施工产生的建筑垃圾清运及弃运费（含渣土外运相关手续办理）及成品保护费用均包含在综合单价内，不再另行计费。</w:t>
      </w:r>
    </w:p>
    <w:p w14:paraId="48D573FA">
      <w:pPr>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所有分项工程施工工艺已在开标前由乙方详细勘查现场后根据行业规范及现场实际情况科学组价，与施工相关的一切费用均包含在相关综合单价中，不再另行计费。</w:t>
      </w:r>
    </w:p>
    <w:p w14:paraId="543B2C7C">
      <w:pPr>
        <w:pageBreakBefore w:val="0"/>
        <w:widowControl w:val="0"/>
        <w:kinsoku/>
        <w:wordWrap/>
        <w:overflowPunct/>
        <w:topLinePunct w:val="0"/>
        <w:autoSpaceDE/>
        <w:autoSpaceDN/>
        <w:bidi w:val="0"/>
        <w:adjustRightInd w:val="0"/>
        <w:snapToGrid w:val="0"/>
        <w:spacing w:line="360" w:lineRule="auto"/>
        <w:ind w:left="0" w:firstLine="472" w:firstLineChars="196"/>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四、合同工期：</w:t>
      </w:r>
    </w:p>
    <w:p w14:paraId="15A5313F">
      <w:pPr>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自接到采购人开工通知之日起</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rPr>
        <w:t>日历天内，具体开工日期以双方商定为准。</w:t>
      </w:r>
    </w:p>
    <w:p w14:paraId="23598285">
      <w:pPr>
        <w:pageBreakBefore w:val="0"/>
        <w:widowControl w:val="0"/>
        <w:kinsoku/>
        <w:wordWrap/>
        <w:overflowPunct/>
        <w:topLinePunct w:val="0"/>
        <w:autoSpaceDE/>
        <w:autoSpaceDN/>
        <w:bidi w:val="0"/>
        <w:adjustRightInd w:val="0"/>
        <w:snapToGrid w:val="0"/>
        <w:spacing w:line="360" w:lineRule="auto"/>
        <w:ind w:left="0" w:firstLine="472" w:firstLineChars="196"/>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五、工程结算及工程款支付方式：</w:t>
      </w:r>
    </w:p>
    <w:p w14:paraId="7A59368F">
      <w:pPr>
        <w:pageBreakBefore w:val="0"/>
        <w:widowControl w:val="0"/>
        <w:tabs>
          <w:tab w:val="left" w:pos="540"/>
        </w:tabs>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包工包料、包工期、包质量、包安全、包文明施工的施工总承包，工程完工后工程量据实结算，工程造价最终以审计结算结果为准。</w:t>
      </w:r>
    </w:p>
    <w:p w14:paraId="13A076FB">
      <w:pPr>
        <w:adjustRightInd w:val="0"/>
        <w:snapToGrid w:val="0"/>
        <w:spacing w:line="360" w:lineRule="auto"/>
        <w:ind w:firstLine="480" w:firstLineChars="200"/>
        <w:jc w:val="left"/>
        <w:outlineLvl w:val="9"/>
        <w:rPr>
          <w:rFonts w:hint="eastAsia" w:ascii="宋体" w:hAnsi="宋体" w:cs="宋体"/>
          <w:color w:val="000000"/>
          <w:kern w:val="0"/>
          <w:sz w:val="24"/>
          <w:szCs w:val="24"/>
          <w:highlight w:val="none"/>
        </w:rPr>
      </w:pPr>
      <w:r>
        <w:rPr>
          <w:rFonts w:hint="eastAsia" w:ascii="宋体" w:hAnsi="宋体" w:eastAsia="宋体" w:cs="宋体"/>
          <w:sz w:val="24"/>
          <w:szCs w:val="24"/>
          <w:highlight w:val="none"/>
        </w:rPr>
        <w:t>2</w:t>
      </w:r>
      <w:r>
        <w:rPr>
          <w:rFonts w:hint="eastAsia" w:ascii="宋体" w:hAnsi="宋体" w:cs="宋体"/>
          <w:sz w:val="24"/>
          <w:szCs w:val="24"/>
          <w:highlight w:val="none"/>
          <w:lang w:val="en-US" w:eastAsia="zh-CN"/>
        </w:rPr>
        <w:t>.本工程在合同签订后待中标（成交）供应商提供符合采购人要求的银行出具的预付款保函后，本项目支付合同总价款的40%作为预付款；正式审计报告出具后采购人在办理完工程款支付审批手续后，向中标（成交）供应商支付至工程审定造价的95%；剩余5%余款在中标（成交）供应商履行保修义务无质量问题后支付。（注：付款前，中标（成交）供应商需向采购人出具合法有效的等额增值税专用或普通发票，否则，视为付款条件不成就，采购人有权拒绝付款，由此造成的损失由中标（成交）供应商承担）</w:t>
      </w:r>
    </w:p>
    <w:p w14:paraId="1BB1D51D">
      <w:pPr>
        <w:pageBreakBefore w:val="0"/>
        <w:widowControl w:val="0"/>
        <w:tabs>
          <w:tab w:val="left" w:pos="540"/>
        </w:tabs>
        <w:kinsoku/>
        <w:wordWrap/>
        <w:overflowPunct/>
        <w:topLinePunct w:val="0"/>
        <w:autoSpaceDE/>
        <w:autoSpaceDN/>
        <w:bidi w:val="0"/>
        <w:adjustRightInd w:val="0"/>
        <w:snapToGrid w:val="0"/>
        <w:spacing w:line="360" w:lineRule="auto"/>
        <w:ind w:left="0" w:firstLine="470" w:firstLineChars="196"/>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施工现场所发生施工合同以外的施工内容和新增加的其他工程量，经甲方书面认可该工程量后双方现场据实确认，费用一并计入工程结算中。</w:t>
      </w:r>
    </w:p>
    <w:p w14:paraId="1AFF1D37">
      <w:pPr>
        <w:pageBreakBefore w:val="0"/>
        <w:widowControl w:val="0"/>
        <w:tabs>
          <w:tab w:val="left" w:pos="540"/>
        </w:tabs>
        <w:kinsoku/>
        <w:wordWrap/>
        <w:overflowPunct/>
        <w:topLinePunct w:val="0"/>
        <w:autoSpaceDE/>
        <w:autoSpaceDN/>
        <w:bidi w:val="0"/>
        <w:adjustRightInd w:val="0"/>
        <w:snapToGrid w:val="0"/>
        <w:spacing w:line="360" w:lineRule="auto"/>
        <w:ind w:left="0" w:firstLine="470" w:firstLineChars="196"/>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施工现场所发生施工合同以外施工内容综合单价确认办法：</w:t>
      </w:r>
    </w:p>
    <w:p w14:paraId="1F1F42EA">
      <w:pPr>
        <w:pageBreakBefore w:val="0"/>
        <w:widowControl w:val="0"/>
        <w:tabs>
          <w:tab w:val="left" w:pos="540"/>
        </w:tabs>
        <w:kinsoku/>
        <w:wordWrap/>
        <w:overflowPunct/>
        <w:topLinePunct w:val="0"/>
        <w:autoSpaceDE/>
        <w:autoSpaceDN/>
        <w:bidi w:val="0"/>
        <w:adjustRightInd w:val="0"/>
        <w:snapToGrid w:val="0"/>
        <w:spacing w:line="360" w:lineRule="auto"/>
        <w:ind w:left="0" w:firstLine="470" w:firstLineChars="196"/>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同中已有适用于变更工程的价格，按合同已有价格；合同中没有适用的单价，由乙方提出变更认价报告，甲方对主材认价，相关取费参照2009《陕西省建筑工程工程量清单计价规则》、2004《陕西省建筑、装饰工程消耗量定额》、2004《陕西省安装工程消耗量定额》及2009年陕西省相关价目表规定执行。</w:t>
      </w:r>
    </w:p>
    <w:p w14:paraId="110BFB51">
      <w:pPr>
        <w:pageBreakBefore w:val="0"/>
        <w:widowControl w:val="0"/>
        <w:tabs>
          <w:tab w:val="left" w:pos="540"/>
        </w:tabs>
        <w:kinsoku/>
        <w:wordWrap/>
        <w:overflowPunct/>
        <w:topLinePunct w:val="0"/>
        <w:autoSpaceDE/>
        <w:autoSpaceDN/>
        <w:bidi w:val="0"/>
        <w:adjustRightInd w:val="0"/>
        <w:snapToGrid w:val="0"/>
        <w:spacing w:line="360" w:lineRule="auto"/>
        <w:ind w:left="0" w:firstLine="470" w:firstLineChars="196"/>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工程施工结算阶段，乙方应据实申报结算资料及组价，经审计后审减率超出10%（含10%）时，发生的全部审计成果费由乙方承担。</w:t>
      </w:r>
    </w:p>
    <w:p w14:paraId="6BCE3A90">
      <w:pPr>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本工程所发生的水电费由乙方承担，按工程审定造价的5‰（其中电费为3‰，水费为2‰）从工程款项中一次性扣除。</w:t>
      </w:r>
    </w:p>
    <w:p w14:paraId="465098A2">
      <w:pPr>
        <w:pageBreakBefore w:val="0"/>
        <w:widowControl w:val="0"/>
        <w:tabs>
          <w:tab w:val="left" w:pos="540"/>
        </w:tabs>
        <w:kinsoku/>
        <w:wordWrap/>
        <w:overflowPunct/>
        <w:topLinePunct w:val="0"/>
        <w:autoSpaceDE/>
        <w:autoSpaceDN/>
        <w:bidi w:val="0"/>
        <w:adjustRightInd w:val="0"/>
        <w:snapToGrid w:val="0"/>
        <w:spacing w:line="360" w:lineRule="auto"/>
        <w:ind w:left="0" w:firstLine="470" w:firstLineChars="196"/>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受相关政策及制度影响，由此可能出现项目内容调整、减少甚至取消部分工程量的情况。对于调减工程量的，所涉及综合单价不予调整。</w:t>
      </w:r>
    </w:p>
    <w:p w14:paraId="3174EF3F">
      <w:pPr>
        <w:pageBreakBefore w:val="0"/>
        <w:widowControl w:val="0"/>
        <w:tabs>
          <w:tab w:val="left" w:pos="540"/>
        </w:tabs>
        <w:kinsoku/>
        <w:wordWrap/>
        <w:overflowPunct/>
        <w:topLinePunct w:val="0"/>
        <w:autoSpaceDE/>
        <w:autoSpaceDN/>
        <w:bidi w:val="0"/>
        <w:adjustRightInd w:val="0"/>
        <w:snapToGrid w:val="0"/>
        <w:spacing w:line="360" w:lineRule="auto"/>
        <w:ind w:left="0" w:firstLine="472" w:firstLineChars="196"/>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六、履约保证金</w:t>
      </w:r>
    </w:p>
    <w:p w14:paraId="0D358E97">
      <w:pPr>
        <w:pageBreakBefore w:val="0"/>
        <w:widowControl w:val="0"/>
        <w:tabs>
          <w:tab w:val="left" w:pos="540"/>
        </w:tabs>
        <w:kinsoku/>
        <w:wordWrap/>
        <w:overflowPunct/>
        <w:topLinePunct w:val="0"/>
        <w:autoSpaceDE/>
        <w:autoSpaceDN/>
        <w:bidi w:val="0"/>
        <w:adjustRightInd w:val="0"/>
        <w:snapToGrid w:val="0"/>
        <w:spacing w:line="360" w:lineRule="auto"/>
        <w:ind w:left="0" w:firstLine="470" w:firstLineChars="196"/>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乙方在与甲方签订合同前5个工作日内，须向甲方缴纳合同总价的3%</w:t>
      </w:r>
      <w:r>
        <w:rPr>
          <w:rFonts w:hint="eastAsia" w:ascii="宋体" w:hAnsi="宋体" w:cs="宋体"/>
          <w:sz w:val="24"/>
          <w:szCs w:val="24"/>
          <w:highlight w:val="none"/>
          <w:lang w:eastAsia="zh-CN"/>
        </w:rPr>
        <w:t>作为</w:t>
      </w:r>
      <w:r>
        <w:rPr>
          <w:rFonts w:hint="eastAsia" w:ascii="宋体" w:hAnsi="宋体" w:eastAsia="宋体" w:cs="宋体"/>
          <w:sz w:val="24"/>
          <w:szCs w:val="24"/>
          <w:highlight w:val="none"/>
        </w:rPr>
        <w:t>履约保证金；待最终验收合格后凭验收单和缴款收据，合同如期履约完成，甲方免息原缴费账户退还履约保证金全款。</w:t>
      </w:r>
      <w:bookmarkStart w:id="0" w:name="_GoBack"/>
      <w:bookmarkEnd w:id="0"/>
    </w:p>
    <w:p w14:paraId="7F07D569">
      <w:pPr>
        <w:pageBreakBefore w:val="0"/>
        <w:widowControl w:val="0"/>
        <w:tabs>
          <w:tab w:val="left" w:pos="540"/>
        </w:tabs>
        <w:kinsoku/>
        <w:wordWrap/>
        <w:overflowPunct/>
        <w:topLinePunct w:val="0"/>
        <w:autoSpaceDE/>
        <w:autoSpaceDN/>
        <w:bidi w:val="0"/>
        <w:adjustRightInd w:val="0"/>
        <w:snapToGrid w:val="0"/>
        <w:spacing w:line="360" w:lineRule="auto"/>
        <w:ind w:left="0" w:firstLine="472" w:firstLineChars="196"/>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七</w:t>
      </w:r>
      <w:r>
        <w:rPr>
          <w:rFonts w:hint="eastAsia" w:ascii="宋体" w:hAnsi="宋体" w:cs="宋体"/>
          <w:b/>
          <w:sz w:val="24"/>
          <w:szCs w:val="24"/>
          <w:highlight w:val="none"/>
          <w:lang w:eastAsia="zh-CN"/>
        </w:rPr>
        <w:t>、</w:t>
      </w:r>
      <w:r>
        <w:rPr>
          <w:rFonts w:hint="eastAsia" w:ascii="宋体" w:hAnsi="宋体" w:eastAsia="宋体" w:cs="宋体"/>
          <w:b/>
          <w:sz w:val="24"/>
          <w:szCs w:val="24"/>
          <w:highlight w:val="none"/>
        </w:rPr>
        <w:t>工程施工要求：</w:t>
      </w:r>
    </w:p>
    <w:p w14:paraId="5806ECC7">
      <w:pPr>
        <w:pageBreakBefore w:val="0"/>
        <w:widowControl w:val="0"/>
        <w:tabs>
          <w:tab w:val="left" w:pos="540"/>
        </w:tabs>
        <w:kinsoku/>
        <w:wordWrap/>
        <w:overflowPunct/>
        <w:topLinePunct w:val="0"/>
        <w:autoSpaceDE/>
        <w:autoSpaceDN/>
        <w:bidi w:val="0"/>
        <w:adjustRightInd w:val="0"/>
        <w:snapToGrid w:val="0"/>
        <w:spacing w:line="360" w:lineRule="auto"/>
        <w:ind w:left="0" w:firstLine="470" w:firstLineChars="196"/>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乙方在施工中应严格管理，自觉遵守政府关于文明施工、安全施工的相关要求；乙方在施工中，应加强职工安全意识的教育和管理工作，严格执行施工质量及安全操作规程，施工中所发生的一切机械、人身伤、残、亡事故及质量事故概由乙方承担。工程竣工后做到工完场清。</w:t>
      </w:r>
    </w:p>
    <w:p w14:paraId="6749FFD4">
      <w:pPr>
        <w:pageBreakBefore w:val="0"/>
        <w:widowControl w:val="0"/>
        <w:tabs>
          <w:tab w:val="left" w:pos="540"/>
        </w:tabs>
        <w:kinsoku/>
        <w:wordWrap/>
        <w:overflowPunct/>
        <w:topLinePunct w:val="0"/>
        <w:autoSpaceDE/>
        <w:autoSpaceDN/>
        <w:bidi w:val="0"/>
        <w:adjustRightInd w:val="0"/>
        <w:snapToGrid w:val="0"/>
        <w:spacing w:line="360" w:lineRule="auto"/>
        <w:ind w:left="0" w:firstLine="472" w:firstLineChars="196"/>
        <w:textAlignment w:val="auto"/>
        <w:rPr>
          <w:rFonts w:hint="eastAsia" w:ascii="宋体" w:hAnsi="宋体" w:eastAsia="宋体" w:cs="宋体"/>
          <w:b/>
          <w:sz w:val="24"/>
          <w:szCs w:val="24"/>
          <w:highlight w:val="none"/>
        </w:rPr>
      </w:pPr>
      <w:r>
        <w:rPr>
          <w:rFonts w:hint="eastAsia" w:ascii="宋体" w:hAnsi="宋体" w:cs="宋体"/>
          <w:b/>
          <w:sz w:val="24"/>
          <w:szCs w:val="24"/>
          <w:highlight w:val="none"/>
          <w:lang w:eastAsia="zh-CN"/>
        </w:rPr>
        <w:t>八</w:t>
      </w:r>
      <w:r>
        <w:rPr>
          <w:rFonts w:hint="eastAsia" w:ascii="宋体" w:hAnsi="宋体" w:eastAsia="宋体" w:cs="宋体"/>
          <w:b/>
          <w:sz w:val="24"/>
          <w:szCs w:val="24"/>
          <w:highlight w:val="none"/>
        </w:rPr>
        <w:t>、质量检查与验收：</w:t>
      </w:r>
    </w:p>
    <w:p w14:paraId="043CB449">
      <w:pPr>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cs="宋体"/>
          <w:sz w:val="24"/>
          <w:szCs w:val="24"/>
          <w:highlight w:val="none"/>
          <w:lang w:val="en-US" w:eastAsia="zh-CN"/>
        </w:rPr>
        <w:t>.</w:t>
      </w:r>
      <w:r>
        <w:rPr>
          <w:rFonts w:hint="eastAsia" w:ascii="宋体" w:hAnsi="宋体" w:eastAsia="宋体" w:cs="宋体"/>
          <w:bCs/>
          <w:sz w:val="24"/>
          <w:szCs w:val="24"/>
          <w:highlight w:val="none"/>
        </w:rPr>
        <w:t>本工程所有设备、材料均由乙方负责采购，乙方必须对所采购物资质量负全部责任，</w:t>
      </w:r>
      <w:r>
        <w:rPr>
          <w:rFonts w:hint="eastAsia" w:ascii="宋体" w:hAnsi="宋体" w:eastAsia="宋体" w:cs="宋体"/>
          <w:sz w:val="24"/>
          <w:szCs w:val="24"/>
          <w:highlight w:val="none"/>
        </w:rPr>
        <w:t>工程所用所有材料必须符合国家、行业标准及甲方要求，并与乙方</w:t>
      </w:r>
      <w:r>
        <w:rPr>
          <w:rFonts w:hint="eastAsia" w:ascii="宋体" w:hAnsi="宋体" w:cs="宋体"/>
          <w:sz w:val="24"/>
          <w:szCs w:val="24"/>
          <w:highlight w:val="none"/>
          <w:lang w:eastAsia="zh-CN"/>
        </w:rPr>
        <w:t>响应文件</w:t>
      </w:r>
      <w:r>
        <w:rPr>
          <w:rFonts w:hint="eastAsia" w:ascii="宋体" w:hAnsi="宋体" w:eastAsia="宋体" w:cs="宋体"/>
          <w:sz w:val="24"/>
          <w:szCs w:val="24"/>
          <w:highlight w:val="none"/>
        </w:rPr>
        <w:t>所标示品牌一致，所有材料进场前需由建设方、监理方考察认质，</w:t>
      </w:r>
      <w:r>
        <w:rPr>
          <w:rFonts w:hint="eastAsia" w:ascii="宋体" w:hAnsi="宋体" w:eastAsia="宋体" w:cs="宋体"/>
          <w:bCs/>
          <w:sz w:val="24"/>
          <w:szCs w:val="24"/>
          <w:highlight w:val="none"/>
        </w:rPr>
        <w:t>材料进场前需提供样品，甲方认定样品质量后封存，大批量材料进场时进行比对查验，所有材料进场后必须经甲方、监理方现场管理人员验收书面确认后方可使用，甲方对材料的验收不免除乙方对其采购物资质量负全部责任的义务。</w:t>
      </w:r>
    </w:p>
    <w:p w14:paraId="462FF379">
      <w:pPr>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本工程质量等级：符合本工程</w:t>
      </w:r>
      <w:r>
        <w:rPr>
          <w:rFonts w:hint="eastAsia" w:ascii="宋体" w:hAnsi="宋体" w:cs="宋体"/>
          <w:sz w:val="24"/>
          <w:szCs w:val="24"/>
          <w:highlight w:val="none"/>
          <w:lang w:eastAsia="zh-CN"/>
        </w:rPr>
        <w:t>招标文件</w:t>
      </w:r>
      <w:r>
        <w:rPr>
          <w:rFonts w:hint="eastAsia" w:ascii="宋体" w:hAnsi="宋体" w:eastAsia="宋体" w:cs="宋体"/>
          <w:sz w:val="24"/>
          <w:szCs w:val="24"/>
          <w:highlight w:val="none"/>
        </w:rPr>
        <w:t>技术要求及国家、行业标准，达到合格。</w:t>
      </w:r>
    </w:p>
    <w:p w14:paraId="14DBA597">
      <w:pPr>
        <w:pageBreakBefore w:val="0"/>
        <w:widowControl w:val="0"/>
        <w:tabs>
          <w:tab w:val="left" w:pos="540"/>
        </w:tabs>
        <w:kinsoku/>
        <w:wordWrap/>
        <w:overflowPunct/>
        <w:topLinePunct w:val="0"/>
        <w:autoSpaceDE/>
        <w:autoSpaceDN/>
        <w:bidi w:val="0"/>
        <w:adjustRightInd w:val="0"/>
        <w:snapToGrid w:val="0"/>
        <w:spacing w:line="360" w:lineRule="auto"/>
        <w:ind w:left="0" w:firstLine="472" w:firstLineChars="196"/>
        <w:textAlignment w:val="auto"/>
        <w:rPr>
          <w:rFonts w:hint="eastAsia" w:ascii="宋体" w:hAnsi="宋体" w:eastAsia="宋体" w:cs="宋体"/>
          <w:b/>
          <w:sz w:val="24"/>
          <w:szCs w:val="24"/>
          <w:highlight w:val="none"/>
        </w:rPr>
      </w:pPr>
      <w:r>
        <w:rPr>
          <w:rFonts w:hint="eastAsia" w:ascii="宋体" w:hAnsi="宋体" w:cs="宋体"/>
          <w:b/>
          <w:sz w:val="24"/>
          <w:szCs w:val="24"/>
          <w:highlight w:val="none"/>
          <w:lang w:eastAsia="zh-CN"/>
        </w:rPr>
        <w:t>九</w:t>
      </w:r>
      <w:r>
        <w:rPr>
          <w:rFonts w:hint="eastAsia" w:ascii="宋体" w:hAnsi="宋体" w:eastAsia="宋体" w:cs="宋体"/>
          <w:b/>
          <w:sz w:val="24"/>
          <w:szCs w:val="24"/>
          <w:highlight w:val="none"/>
        </w:rPr>
        <w:t>、工程</w:t>
      </w:r>
      <w:r>
        <w:rPr>
          <w:rFonts w:hint="eastAsia" w:ascii="宋体" w:hAnsi="宋体" w:eastAsia="宋体" w:cs="宋体"/>
          <w:b/>
          <w:sz w:val="24"/>
          <w:szCs w:val="24"/>
          <w:highlight w:val="none"/>
          <w:lang w:eastAsia="zh-CN"/>
        </w:rPr>
        <w:t>质量保修期</w:t>
      </w:r>
      <w:r>
        <w:rPr>
          <w:rFonts w:hint="eastAsia" w:ascii="宋体" w:hAnsi="宋体" w:eastAsia="宋体" w:cs="宋体"/>
          <w:b/>
          <w:sz w:val="24"/>
          <w:szCs w:val="24"/>
          <w:highlight w:val="none"/>
        </w:rPr>
        <w:t>：</w:t>
      </w:r>
    </w:p>
    <w:p w14:paraId="6C74B5CD">
      <w:pPr>
        <w:pageBreakBefore w:val="0"/>
        <w:widowControl w:val="0"/>
        <w:tabs>
          <w:tab w:val="left" w:pos="540"/>
        </w:tabs>
        <w:kinsoku/>
        <w:wordWrap/>
        <w:overflowPunct/>
        <w:topLinePunct w:val="0"/>
        <w:autoSpaceDE/>
        <w:autoSpaceDN/>
        <w:bidi w:val="0"/>
        <w:adjustRightInd w:val="0"/>
        <w:snapToGrid w:val="0"/>
        <w:spacing w:line="360" w:lineRule="auto"/>
        <w:ind w:left="0" w:firstLine="470" w:firstLineChars="196"/>
        <w:textAlignment w:val="auto"/>
        <w:rPr>
          <w:rFonts w:hint="eastAsia" w:ascii="宋体" w:hAnsi="宋体" w:eastAsia="宋体" w:cs="宋体"/>
          <w:color w:val="FF0000"/>
          <w:sz w:val="24"/>
          <w:szCs w:val="24"/>
          <w:highlight w:val="none"/>
        </w:rPr>
      </w:pPr>
      <w:r>
        <w:rPr>
          <w:rFonts w:hint="eastAsia" w:ascii="宋体" w:hAnsi="宋体" w:eastAsia="宋体" w:cs="宋体"/>
          <w:sz w:val="24"/>
          <w:szCs w:val="24"/>
          <w:highlight w:val="none"/>
        </w:rPr>
        <w:t>本工程</w:t>
      </w:r>
      <w:r>
        <w:rPr>
          <w:rFonts w:hint="eastAsia" w:ascii="宋体" w:hAnsi="宋体" w:eastAsia="宋体" w:cs="宋体"/>
          <w:sz w:val="24"/>
          <w:szCs w:val="24"/>
          <w:highlight w:val="none"/>
          <w:lang w:eastAsia="zh-CN"/>
        </w:rPr>
        <w:t>质量保修期自工程竣工验收合格之日</w:t>
      </w:r>
      <w:r>
        <w:rPr>
          <w:rFonts w:hint="eastAsia" w:ascii="宋体" w:hAnsi="宋体" w:cs="宋体"/>
          <w:sz w:val="24"/>
          <w:szCs w:val="24"/>
          <w:highlight w:val="none"/>
          <w:lang w:eastAsia="zh-CN"/>
        </w:rPr>
        <w:t>起</w:t>
      </w:r>
      <w:r>
        <w:rPr>
          <w:rFonts w:hint="eastAsia" w:ascii="宋体" w:hAnsi="宋体" w:eastAsia="宋体" w:cs="宋体"/>
          <w:sz w:val="24"/>
          <w:szCs w:val="24"/>
          <w:highlight w:val="none"/>
          <w:lang w:eastAsia="zh-CN"/>
        </w:rPr>
        <w:t>1年</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质量保修期</w:t>
      </w:r>
      <w:r>
        <w:rPr>
          <w:rFonts w:hint="eastAsia" w:ascii="宋体" w:hAnsi="宋体" w:eastAsia="宋体" w:cs="宋体"/>
          <w:sz w:val="24"/>
          <w:szCs w:val="24"/>
          <w:highlight w:val="none"/>
        </w:rPr>
        <w:t>内如因施工及设备质量问题需要维修，</w:t>
      </w:r>
      <w:r>
        <w:rPr>
          <w:rFonts w:hint="eastAsia" w:ascii="宋体" w:hAnsi="宋体" w:eastAsia="宋体" w:cs="宋体"/>
          <w:bCs/>
          <w:sz w:val="24"/>
          <w:szCs w:val="24"/>
          <w:highlight w:val="none"/>
        </w:rPr>
        <w:t>乙方应保证48小时内提供维修方案，5天内完成维修，</w:t>
      </w:r>
      <w:r>
        <w:rPr>
          <w:rFonts w:hint="eastAsia" w:ascii="宋体" w:hAnsi="宋体" w:eastAsia="宋体" w:cs="宋体"/>
          <w:sz w:val="24"/>
          <w:szCs w:val="24"/>
          <w:highlight w:val="none"/>
        </w:rPr>
        <w:t>无条件免费维修，否则甲方有权另行委托他人完成，所发生的费用均由乙方承担。</w:t>
      </w:r>
    </w:p>
    <w:p w14:paraId="3D4E35EF">
      <w:pPr>
        <w:pageBreakBefore w:val="0"/>
        <w:widowControl w:val="0"/>
        <w:kinsoku/>
        <w:wordWrap/>
        <w:overflowPunct/>
        <w:topLinePunct w:val="0"/>
        <w:autoSpaceDE/>
        <w:autoSpaceDN/>
        <w:bidi w:val="0"/>
        <w:adjustRightInd w:val="0"/>
        <w:snapToGrid w:val="0"/>
        <w:spacing w:line="360" w:lineRule="auto"/>
        <w:ind w:left="0"/>
        <w:textAlignment w:val="auto"/>
        <w:rPr>
          <w:rFonts w:hint="eastAsia" w:ascii="宋体" w:hAnsi="宋体" w:eastAsia="宋体" w:cs="宋体"/>
          <w:b/>
          <w:bCs/>
          <w:sz w:val="24"/>
          <w:szCs w:val="24"/>
          <w:highlight w:val="none"/>
        </w:rPr>
      </w:pPr>
      <w:r>
        <w:rPr>
          <w:rFonts w:hint="eastAsia" w:ascii="宋体" w:hAnsi="宋体" w:eastAsia="宋体" w:cs="宋体"/>
          <w:sz w:val="24"/>
          <w:szCs w:val="24"/>
          <w:highlight w:val="none"/>
        </w:rPr>
        <w:t xml:space="preserve">    </w:t>
      </w:r>
      <w:r>
        <w:rPr>
          <w:rFonts w:hint="eastAsia" w:ascii="宋体" w:hAnsi="宋体" w:cs="宋体"/>
          <w:b/>
          <w:bCs/>
          <w:sz w:val="24"/>
          <w:szCs w:val="24"/>
          <w:highlight w:val="none"/>
          <w:lang w:eastAsia="zh-CN"/>
        </w:rPr>
        <w:t>十</w:t>
      </w:r>
      <w:r>
        <w:rPr>
          <w:rFonts w:hint="eastAsia" w:ascii="宋体" w:hAnsi="宋体" w:eastAsia="宋体" w:cs="宋体"/>
          <w:b/>
          <w:bCs/>
          <w:sz w:val="24"/>
          <w:szCs w:val="24"/>
          <w:highlight w:val="none"/>
        </w:rPr>
        <w:t>、甲方责任：</w:t>
      </w:r>
    </w:p>
    <w:p w14:paraId="28FCD58A">
      <w:pPr>
        <w:pageBreakBefore w:val="0"/>
        <w:widowControl w:val="0"/>
        <w:tabs>
          <w:tab w:val="left" w:pos="1260"/>
        </w:tabs>
        <w:kinsoku/>
        <w:wordWrap/>
        <w:overflowPunct/>
        <w:topLinePunct w:val="0"/>
        <w:autoSpaceDE/>
        <w:autoSpaceDN/>
        <w:bidi w:val="0"/>
        <w:adjustRightInd w:val="0"/>
        <w:snapToGrid w:val="0"/>
        <w:spacing w:line="360" w:lineRule="auto"/>
        <w:ind w:left="0" w:firstLine="48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甲方指派</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作为甲方施工现场代表，负责施工的监督管理和协调，验收乙方设备、材料来货单及双方往来文件，协调办理乙方进场施工手续。</w:t>
      </w:r>
    </w:p>
    <w:p w14:paraId="605FE90C">
      <w:pPr>
        <w:pageBreakBefore w:val="0"/>
        <w:widowControl w:val="0"/>
        <w:tabs>
          <w:tab w:val="left" w:pos="1260"/>
        </w:tabs>
        <w:kinsoku/>
        <w:wordWrap/>
        <w:overflowPunct/>
        <w:topLinePunct w:val="0"/>
        <w:autoSpaceDE/>
        <w:autoSpaceDN/>
        <w:bidi w:val="0"/>
        <w:adjustRightInd w:val="0"/>
        <w:snapToGrid w:val="0"/>
        <w:spacing w:line="360" w:lineRule="auto"/>
        <w:ind w:left="0" w:firstLine="48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指定乙方施工时所需的材料及工具堆放地点，指定水电源接点位置；</w:t>
      </w:r>
    </w:p>
    <w:p w14:paraId="2D2D5576">
      <w:pPr>
        <w:pageBreakBefore w:val="0"/>
        <w:widowControl w:val="0"/>
        <w:tabs>
          <w:tab w:val="left" w:pos="900"/>
          <w:tab w:val="left" w:pos="1080"/>
        </w:tabs>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3</w:t>
      </w:r>
      <w:r>
        <w:rPr>
          <w:rFonts w:hint="eastAsia" w:ascii="宋体" w:hAnsi="宋体" w:cs="宋体"/>
          <w:color w:val="000000"/>
          <w:sz w:val="24"/>
          <w:szCs w:val="24"/>
          <w:highlight w:val="none"/>
          <w:lang w:val="en-US" w:eastAsia="zh-CN"/>
        </w:rPr>
        <w:t>.</w:t>
      </w:r>
      <w:r>
        <w:rPr>
          <w:rFonts w:hint="eastAsia" w:ascii="宋体" w:hAnsi="宋体" w:eastAsia="宋体" w:cs="宋体"/>
          <w:color w:val="000000"/>
          <w:sz w:val="24"/>
          <w:szCs w:val="24"/>
          <w:highlight w:val="none"/>
        </w:rPr>
        <w:t>对乙方项目部组成人员名单、修改完善后的施工组织设计、施工进度计划横线图及相关技术资料进行审批和签署。</w:t>
      </w:r>
    </w:p>
    <w:p w14:paraId="14007F3E">
      <w:pPr>
        <w:pageBreakBefore w:val="0"/>
        <w:widowControl w:val="0"/>
        <w:kinsoku/>
        <w:wordWrap/>
        <w:overflowPunct/>
        <w:topLinePunct w:val="0"/>
        <w:autoSpaceDE/>
        <w:autoSpaceDN/>
        <w:bidi w:val="0"/>
        <w:adjustRightInd w:val="0"/>
        <w:snapToGrid w:val="0"/>
        <w:spacing w:line="360" w:lineRule="auto"/>
        <w:ind w:left="0"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w:t>
      </w:r>
      <w:r>
        <w:rPr>
          <w:rFonts w:hint="eastAsia" w:ascii="宋体" w:hAnsi="宋体" w:cs="宋体"/>
          <w:b/>
          <w:bCs/>
          <w:sz w:val="24"/>
          <w:szCs w:val="24"/>
          <w:highlight w:val="none"/>
          <w:lang w:eastAsia="zh-CN"/>
        </w:rPr>
        <w:t>一</w:t>
      </w:r>
      <w:r>
        <w:rPr>
          <w:rFonts w:hint="eastAsia" w:ascii="宋体" w:hAnsi="宋体" w:eastAsia="宋体" w:cs="宋体"/>
          <w:b/>
          <w:bCs/>
          <w:sz w:val="24"/>
          <w:szCs w:val="24"/>
          <w:highlight w:val="none"/>
        </w:rPr>
        <w:t>、乙方责任：</w:t>
      </w:r>
    </w:p>
    <w:p w14:paraId="02163D76">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rPr>
        <w:t>乙方指派</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作为工地项目负责人，负责设备、材料安装、工程质量和施工安全的管理以及签收双方往来文件等。</w:t>
      </w:r>
    </w:p>
    <w:p w14:paraId="34B592EC">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bCs/>
          <w:sz w:val="24"/>
          <w:szCs w:val="24"/>
          <w:highlight w:val="none"/>
        </w:rPr>
        <w:t>乙方工地负责人，联系电话</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，微信号</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，邮箱</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w:t>
      </w:r>
    </w:p>
    <w:p w14:paraId="4A03E249">
      <w:pPr>
        <w:keepNext w:val="0"/>
        <w:keepLines w:val="0"/>
        <w:pageBreakBefore w:val="0"/>
        <w:widowControl w:val="0"/>
        <w:tabs>
          <w:tab w:val="left" w:pos="840"/>
          <w:tab w:val="left" w:pos="1080"/>
          <w:tab w:val="left" w:pos="1260"/>
        </w:tabs>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2.</w:t>
      </w:r>
      <w:r>
        <w:rPr>
          <w:rFonts w:hint="eastAsia" w:ascii="宋体" w:hAnsi="宋体" w:eastAsia="宋体" w:cs="宋体"/>
          <w:sz w:val="24"/>
          <w:szCs w:val="24"/>
          <w:highlight w:val="none"/>
        </w:rPr>
        <w:t>设备、材料进场及安装时接受甲方的全程监督管理。</w:t>
      </w:r>
    </w:p>
    <w:p w14:paraId="3CF77FA6">
      <w:pPr>
        <w:keepNext w:val="0"/>
        <w:keepLines w:val="0"/>
        <w:pageBreakBefore w:val="0"/>
        <w:widowControl w:val="0"/>
        <w:tabs>
          <w:tab w:val="left" w:pos="840"/>
          <w:tab w:val="left" w:pos="1080"/>
          <w:tab w:val="left" w:pos="1260"/>
        </w:tabs>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3.</w:t>
      </w:r>
      <w:r>
        <w:rPr>
          <w:rFonts w:hint="eastAsia" w:ascii="宋体" w:hAnsi="宋体" w:eastAsia="宋体" w:cs="宋体"/>
          <w:sz w:val="24"/>
          <w:szCs w:val="24"/>
          <w:highlight w:val="none"/>
        </w:rPr>
        <w:t>严格按照技术要求、施工内容和制作要求进行生产和施工安装，对不符合合同要求的设备、材料及不符合验收标准的设备、材料进行改造和更换。</w:t>
      </w:r>
    </w:p>
    <w:p w14:paraId="502F7B8C">
      <w:pPr>
        <w:keepNext w:val="0"/>
        <w:keepLines w:val="0"/>
        <w:pageBreakBefore w:val="0"/>
        <w:widowControl w:val="0"/>
        <w:tabs>
          <w:tab w:val="left" w:pos="840"/>
          <w:tab w:val="left" w:pos="1080"/>
          <w:tab w:val="left" w:pos="1260"/>
        </w:tabs>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负责做好施工期间材料、设备的保管。</w:t>
      </w:r>
    </w:p>
    <w:p w14:paraId="3A31FBEB">
      <w:pPr>
        <w:keepNext w:val="0"/>
        <w:keepLines w:val="0"/>
        <w:pageBreakBefore w:val="0"/>
        <w:widowControl w:val="0"/>
        <w:tabs>
          <w:tab w:val="left" w:pos="840"/>
          <w:tab w:val="left" w:pos="1080"/>
          <w:tab w:val="left" w:pos="1260"/>
        </w:tabs>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按时按质完成设备、材料的制作、采购和安装调试，保证甲方的正常使用，并向甲方及时提交工程审计结算所需完整资料。</w:t>
      </w:r>
    </w:p>
    <w:p w14:paraId="54F89AE6">
      <w:pPr>
        <w:keepNext w:val="0"/>
        <w:keepLines w:val="0"/>
        <w:pageBreakBefore w:val="0"/>
        <w:widowControl w:val="0"/>
        <w:tabs>
          <w:tab w:val="left" w:pos="840"/>
          <w:tab w:val="left" w:pos="1080"/>
          <w:tab w:val="left" w:pos="1260"/>
        </w:tabs>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在工程施工和设备、材料安装过程中，不得任意破坏甲方土建结构，如确实需要改动土建结构的，需经甲方书面同意，否则，需向甲方支付30%的违约金，造成甲方损失的，还应赔偿甲方全部经济损失。</w:t>
      </w:r>
    </w:p>
    <w:p w14:paraId="652A6EDB">
      <w:pPr>
        <w:pageBreakBefore w:val="0"/>
        <w:widowControl w:val="0"/>
        <w:tabs>
          <w:tab w:val="left" w:pos="1080"/>
          <w:tab w:val="left" w:pos="1260"/>
        </w:tabs>
        <w:kinsoku/>
        <w:wordWrap/>
        <w:overflowPunct/>
        <w:topLinePunct w:val="0"/>
        <w:autoSpaceDE/>
        <w:autoSpaceDN/>
        <w:bidi w:val="0"/>
        <w:adjustRightInd w:val="0"/>
        <w:snapToGrid w:val="0"/>
        <w:spacing w:line="360" w:lineRule="auto"/>
        <w:ind w:left="0" w:firstLine="482"/>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w:t>
      </w:r>
      <w:r>
        <w:rPr>
          <w:rFonts w:hint="eastAsia" w:ascii="宋体" w:hAnsi="宋体" w:cs="宋体"/>
          <w:b/>
          <w:bCs/>
          <w:sz w:val="24"/>
          <w:szCs w:val="24"/>
          <w:highlight w:val="none"/>
          <w:lang w:eastAsia="zh-CN"/>
        </w:rPr>
        <w:t>二</w:t>
      </w:r>
      <w:r>
        <w:rPr>
          <w:rFonts w:hint="eastAsia" w:ascii="宋体" w:hAnsi="宋体" w:eastAsia="宋体" w:cs="宋体"/>
          <w:b/>
          <w:bCs/>
          <w:sz w:val="24"/>
          <w:szCs w:val="24"/>
          <w:highlight w:val="none"/>
        </w:rPr>
        <w:t>、违约责任：</w:t>
      </w:r>
    </w:p>
    <w:p w14:paraId="71B1BCC5">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乙方必须提前做好准备，科学合理组织人力、物力及设备投入，必须保证保质、保量、按期完工，未经甲方书面同意，工期每推迟一天，按照合同价的1%按天累计从工程款项中一次性扣除。延期超过30天，甲方有权解除合同。</w:t>
      </w:r>
    </w:p>
    <w:p w14:paraId="470D3F74">
      <w:pPr>
        <w:keepNext w:val="0"/>
        <w:keepLines w:val="0"/>
        <w:pageBreakBefore w:val="0"/>
        <w:widowControl w:val="0"/>
        <w:tabs>
          <w:tab w:val="left" w:pos="840"/>
          <w:tab w:val="left" w:pos="1080"/>
          <w:tab w:val="left" w:pos="1260"/>
        </w:tabs>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乙方在施工中如不服从甲方管理和监督而违章施工，经甲方提出拒不改正，甲方有权令其停工，由此带来的经济损失由乙方自负；乙方停工后仍不及时整改或工作无有新的起色，甲方有权解除合同，并有权向乙方索赔由此带来的全部经济损失。</w:t>
      </w:r>
    </w:p>
    <w:p w14:paraId="7592BBF6">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3</w:t>
      </w:r>
      <w:r>
        <w:rPr>
          <w:rFonts w:hint="eastAsia" w:ascii="宋体" w:hAnsi="宋体" w:cs="宋体"/>
          <w:bCs/>
          <w:sz w:val="24"/>
          <w:szCs w:val="24"/>
          <w:highlight w:val="none"/>
          <w:lang w:val="en-US" w:eastAsia="zh-CN"/>
        </w:rPr>
        <w:t>.</w:t>
      </w:r>
      <w:r>
        <w:rPr>
          <w:rFonts w:hint="eastAsia" w:ascii="宋体" w:hAnsi="宋体" w:eastAsia="宋体" w:cs="宋体"/>
          <w:bCs/>
          <w:sz w:val="24"/>
          <w:szCs w:val="24"/>
          <w:highlight w:val="none"/>
        </w:rPr>
        <w:t>除不可抗力外，因一方原因，合同无法继续履行时，应在不可抗力发生之日起30日内书面通知另一方，双方协商一致后办理合同终止协议，并由责任方赔偿对方由此造成的经济损失。</w:t>
      </w:r>
    </w:p>
    <w:p w14:paraId="623C8AF9">
      <w:pPr>
        <w:keepNext w:val="0"/>
        <w:keepLines w:val="0"/>
        <w:pageBreakBefore w:val="0"/>
        <w:widowControl w:val="0"/>
        <w:tabs>
          <w:tab w:val="left" w:pos="840"/>
          <w:tab w:val="left" w:pos="1080"/>
          <w:tab w:val="left" w:pos="1260"/>
        </w:tabs>
        <w:kinsoku/>
        <w:wordWrap/>
        <w:overflowPunct/>
        <w:topLinePunct w:val="0"/>
        <w:autoSpaceDE/>
        <w:autoSpaceDN/>
        <w:bidi w:val="0"/>
        <w:adjustRightInd w:val="0"/>
        <w:snapToGrid w:val="0"/>
        <w:spacing w:line="360" w:lineRule="auto"/>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bCs/>
          <w:sz w:val="24"/>
          <w:szCs w:val="24"/>
          <w:highlight w:val="none"/>
        </w:rPr>
        <w:t>4</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如因乙方原因，给甲方造成不限于本合同明确约定的损失，乙方应赔偿甲方的全部经济损失。本合同所称全部经济损失，包括但不限于：直接损失、赔偿金、违约金、诉讼费用、仲裁费、鉴定费、保全费、保全担保费用、律师费等。</w:t>
      </w:r>
    </w:p>
    <w:p w14:paraId="24528335">
      <w:pPr>
        <w:pageBreakBefore w:val="0"/>
        <w:widowControl w:val="0"/>
        <w:tabs>
          <w:tab w:val="left" w:pos="1080"/>
          <w:tab w:val="left" w:pos="1260"/>
          <w:tab w:val="left" w:pos="8120"/>
        </w:tabs>
        <w:kinsoku/>
        <w:wordWrap/>
        <w:overflowPunct/>
        <w:topLinePunct w:val="0"/>
        <w:autoSpaceDE/>
        <w:autoSpaceDN/>
        <w:bidi w:val="0"/>
        <w:adjustRightInd w:val="0"/>
        <w:snapToGrid w:val="0"/>
        <w:spacing w:line="360" w:lineRule="auto"/>
        <w:ind w:left="0" w:firstLine="482"/>
        <w:textAlignment w:val="auto"/>
        <w:rPr>
          <w:rFonts w:hint="eastAsia" w:ascii="宋体" w:hAnsi="宋体" w:eastAsia="宋体" w:cs="宋体"/>
          <w:color w:val="000000"/>
          <w:sz w:val="24"/>
          <w:szCs w:val="24"/>
          <w:highlight w:val="none"/>
        </w:rPr>
      </w:pPr>
      <w:r>
        <w:rPr>
          <w:rFonts w:hint="eastAsia" w:ascii="宋体" w:hAnsi="宋体" w:eastAsia="宋体" w:cs="宋体"/>
          <w:b/>
          <w:bCs/>
          <w:sz w:val="24"/>
          <w:szCs w:val="24"/>
          <w:highlight w:val="none"/>
        </w:rPr>
        <w:t>十</w:t>
      </w:r>
      <w:r>
        <w:rPr>
          <w:rFonts w:hint="eastAsia" w:ascii="宋体" w:hAnsi="宋体" w:cs="宋体"/>
          <w:b/>
          <w:bCs/>
          <w:sz w:val="24"/>
          <w:szCs w:val="24"/>
          <w:highlight w:val="none"/>
          <w:lang w:eastAsia="zh-CN"/>
        </w:rPr>
        <w:t>三</w:t>
      </w:r>
      <w:r>
        <w:rPr>
          <w:rFonts w:hint="eastAsia" w:ascii="宋体" w:hAnsi="宋体" w:eastAsia="宋体" w:cs="宋体"/>
          <w:b/>
          <w:bCs/>
          <w:sz w:val="24"/>
          <w:szCs w:val="24"/>
          <w:highlight w:val="none"/>
        </w:rPr>
        <w:t>、争议解决方式：</w:t>
      </w:r>
      <w:r>
        <w:rPr>
          <w:rFonts w:hint="eastAsia" w:ascii="宋体" w:hAnsi="宋体" w:eastAsia="宋体" w:cs="宋体"/>
          <w:b/>
          <w:bCs/>
          <w:sz w:val="24"/>
          <w:szCs w:val="24"/>
          <w:highlight w:val="none"/>
        </w:rPr>
        <w:tab/>
      </w:r>
    </w:p>
    <w:p w14:paraId="25ABCDCC">
      <w:pPr>
        <w:pageBreakBefore w:val="0"/>
        <w:widowControl w:val="0"/>
        <w:kinsoku/>
        <w:wordWrap/>
        <w:overflowPunct/>
        <w:topLinePunct w:val="0"/>
        <w:autoSpaceDE/>
        <w:autoSpaceDN/>
        <w:bidi w:val="0"/>
        <w:adjustRightInd w:val="0"/>
        <w:snapToGrid w:val="0"/>
        <w:spacing w:line="360" w:lineRule="auto"/>
        <w:ind w:left="0" w:firstLine="424" w:firstLineChars="177"/>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此合同未尽事宜，双方友好协商解决，如协商未果，交由施工所在地人民法院诉讼解决。   </w:t>
      </w:r>
    </w:p>
    <w:p w14:paraId="2A272A7F">
      <w:pPr>
        <w:pageBreakBefore w:val="0"/>
        <w:widowControl w:val="0"/>
        <w:kinsoku/>
        <w:wordWrap/>
        <w:overflowPunct/>
        <w:topLinePunct w:val="0"/>
        <w:autoSpaceDE/>
        <w:autoSpaceDN/>
        <w:bidi w:val="0"/>
        <w:adjustRightInd w:val="0"/>
        <w:snapToGrid w:val="0"/>
        <w:spacing w:line="360" w:lineRule="auto"/>
        <w:ind w:left="0" w:firstLine="426" w:firstLineChars="177"/>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w:t>
      </w:r>
      <w:r>
        <w:rPr>
          <w:rFonts w:hint="eastAsia" w:ascii="宋体" w:hAnsi="宋体" w:cs="宋体"/>
          <w:b/>
          <w:bCs/>
          <w:sz w:val="24"/>
          <w:szCs w:val="24"/>
          <w:highlight w:val="none"/>
          <w:lang w:eastAsia="zh-CN"/>
        </w:rPr>
        <w:t>四</w:t>
      </w:r>
      <w:r>
        <w:rPr>
          <w:rFonts w:hint="eastAsia" w:ascii="宋体" w:hAnsi="宋体" w:eastAsia="宋体" w:cs="宋体"/>
          <w:b/>
          <w:bCs/>
          <w:sz w:val="24"/>
          <w:szCs w:val="24"/>
          <w:highlight w:val="none"/>
        </w:rPr>
        <w:t>、其他约定</w:t>
      </w:r>
    </w:p>
    <w:p w14:paraId="0CD8DF4D">
      <w:pPr>
        <w:pageBreakBefore w:val="0"/>
        <w:widowControl w:val="0"/>
        <w:kinsoku/>
        <w:wordWrap/>
        <w:overflowPunct/>
        <w:topLinePunct w:val="0"/>
        <w:autoSpaceDE/>
        <w:autoSpaceDN/>
        <w:bidi w:val="0"/>
        <w:adjustRightInd w:val="0"/>
        <w:snapToGrid w:val="0"/>
        <w:spacing w:line="360" w:lineRule="auto"/>
        <w:ind w:left="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1</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与本合同有关的招标文件、施工图纸、工程量清单、</w:t>
      </w:r>
      <w:r>
        <w:rPr>
          <w:rFonts w:hint="eastAsia" w:ascii="宋体" w:hAnsi="宋体" w:cs="宋体"/>
          <w:sz w:val="24"/>
          <w:szCs w:val="24"/>
          <w:highlight w:val="none"/>
          <w:lang w:eastAsia="zh-CN"/>
        </w:rPr>
        <w:t>响应文件</w:t>
      </w:r>
      <w:r>
        <w:rPr>
          <w:rFonts w:hint="eastAsia" w:ascii="宋体" w:hAnsi="宋体" w:eastAsia="宋体" w:cs="宋体"/>
          <w:sz w:val="24"/>
          <w:szCs w:val="24"/>
          <w:highlight w:val="none"/>
        </w:rPr>
        <w:t>、工程变更资料、会议纪要、工程签证、工程预决算、技术资料、业务往来文件均为本合同之附件，与本合同具有同等法律效力。</w:t>
      </w:r>
    </w:p>
    <w:p w14:paraId="10F18F9C">
      <w:pPr>
        <w:pageBreakBefore w:val="0"/>
        <w:widowControl w:val="0"/>
        <w:kinsoku/>
        <w:wordWrap/>
        <w:overflowPunct/>
        <w:topLinePunct w:val="0"/>
        <w:autoSpaceDE/>
        <w:autoSpaceDN/>
        <w:bidi w:val="0"/>
        <w:adjustRightInd w:val="0"/>
        <w:snapToGrid w:val="0"/>
        <w:spacing w:line="360" w:lineRule="auto"/>
        <w:ind w:left="0" w:firstLine="480"/>
        <w:textAlignment w:val="auto"/>
        <w:rPr>
          <w:rFonts w:hint="eastAsia" w:ascii="宋体" w:hAnsi="宋体" w:eastAsia="宋体" w:cs="宋体"/>
          <w:color w:val="000000"/>
          <w:sz w:val="24"/>
          <w:szCs w:val="24"/>
          <w:highlight w:val="none"/>
        </w:rPr>
      </w:pPr>
      <w:r>
        <w:rPr>
          <w:rFonts w:hint="eastAsia" w:ascii="宋体" w:hAnsi="宋体" w:eastAsia="宋体" w:cs="宋体"/>
          <w:sz w:val="24"/>
          <w:szCs w:val="24"/>
          <w:highlight w:val="none"/>
        </w:rPr>
        <w:t>2</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rPr>
        <w:t>本合同一式</w:t>
      </w:r>
      <w:r>
        <w:rPr>
          <w:rFonts w:hint="eastAsia" w:ascii="宋体" w:hAnsi="宋体" w:eastAsia="宋体" w:cs="宋体"/>
          <w:sz w:val="24"/>
          <w:szCs w:val="24"/>
          <w:highlight w:val="none"/>
          <w:u w:val="single"/>
        </w:rPr>
        <w:t>陆</w:t>
      </w:r>
      <w:r>
        <w:rPr>
          <w:rFonts w:hint="eastAsia" w:ascii="宋体" w:hAnsi="宋体" w:eastAsia="宋体" w:cs="宋体"/>
          <w:sz w:val="24"/>
          <w:szCs w:val="24"/>
          <w:highlight w:val="none"/>
        </w:rPr>
        <w:t>份，甲方执</w:t>
      </w:r>
      <w:r>
        <w:rPr>
          <w:rFonts w:hint="eastAsia" w:ascii="宋体" w:hAnsi="宋体" w:eastAsia="宋体" w:cs="宋体"/>
          <w:sz w:val="24"/>
          <w:szCs w:val="24"/>
          <w:highlight w:val="none"/>
          <w:u w:val="single"/>
        </w:rPr>
        <w:t xml:space="preserve"> 肆 </w:t>
      </w:r>
      <w:r>
        <w:rPr>
          <w:rFonts w:hint="eastAsia" w:ascii="宋体" w:hAnsi="宋体" w:eastAsia="宋体" w:cs="宋体"/>
          <w:sz w:val="24"/>
          <w:szCs w:val="24"/>
          <w:highlight w:val="none"/>
        </w:rPr>
        <w:t>份，乙方执</w:t>
      </w:r>
      <w:r>
        <w:rPr>
          <w:rFonts w:hint="eastAsia" w:ascii="宋体" w:hAnsi="宋体" w:eastAsia="宋体" w:cs="宋体"/>
          <w:sz w:val="24"/>
          <w:szCs w:val="24"/>
          <w:highlight w:val="none"/>
          <w:u w:val="single"/>
        </w:rPr>
        <w:t>贰</w:t>
      </w:r>
      <w:r>
        <w:rPr>
          <w:rFonts w:hint="eastAsia" w:ascii="宋体" w:hAnsi="宋体" w:eastAsia="宋体" w:cs="宋体"/>
          <w:sz w:val="24"/>
          <w:szCs w:val="24"/>
          <w:highlight w:val="none"/>
        </w:rPr>
        <w:t>份，</w:t>
      </w:r>
      <w:r>
        <w:rPr>
          <w:rFonts w:hint="eastAsia" w:ascii="宋体" w:hAnsi="宋体" w:eastAsia="宋体" w:cs="宋体"/>
          <w:color w:val="000000"/>
          <w:sz w:val="24"/>
          <w:szCs w:val="24"/>
          <w:highlight w:val="none"/>
        </w:rPr>
        <w:t>经双方签字并盖章生效，具有同等的法律效力，至合同履行完毕时自行解除。</w:t>
      </w:r>
    </w:p>
    <w:p w14:paraId="636E725E">
      <w:pPr>
        <w:pStyle w:val="2"/>
        <w:ind w:firstLine="480" w:firstLineChars="200"/>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（以下无正文）</w:t>
      </w:r>
    </w:p>
    <w:p w14:paraId="7E440F7D">
      <w:pPr>
        <w:rPr>
          <w:rFonts w:hint="eastAsia" w:ascii="宋体" w:hAnsi="宋体" w:eastAsia="宋体" w:cs="宋体"/>
          <w:kern w:val="2"/>
          <w:sz w:val="24"/>
          <w:szCs w:val="24"/>
          <w:highlight w:val="none"/>
          <w:lang w:val="en-US" w:eastAsia="zh-CN" w:bidi="ar-SA"/>
        </w:rPr>
      </w:pPr>
    </w:p>
    <w:p w14:paraId="765D1EA0">
      <w:pPr>
        <w:rPr>
          <w:rFonts w:hint="eastAsia" w:ascii="宋体" w:hAnsi="宋体" w:eastAsia="宋体" w:cs="宋体"/>
          <w:kern w:val="2"/>
          <w:sz w:val="24"/>
          <w:szCs w:val="24"/>
          <w:highlight w:val="none"/>
          <w:lang w:val="en-US" w:eastAsia="zh-CN" w:bidi="ar-SA"/>
        </w:rPr>
      </w:pPr>
    </w:p>
    <w:tbl>
      <w:tblPr>
        <w:tblStyle w:val="7"/>
        <w:tblW w:w="8300" w:type="dxa"/>
        <w:jc w:val="center"/>
        <w:tblLayout w:type="autofit"/>
        <w:tblCellMar>
          <w:top w:w="0" w:type="dxa"/>
          <w:left w:w="108" w:type="dxa"/>
          <w:bottom w:w="0" w:type="dxa"/>
          <w:right w:w="108" w:type="dxa"/>
        </w:tblCellMar>
      </w:tblPr>
      <w:tblGrid>
        <w:gridCol w:w="4150"/>
        <w:gridCol w:w="4150"/>
      </w:tblGrid>
      <w:tr w14:paraId="508C6505">
        <w:tblPrEx>
          <w:tblCellMar>
            <w:top w:w="0" w:type="dxa"/>
            <w:left w:w="108" w:type="dxa"/>
            <w:bottom w:w="0" w:type="dxa"/>
            <w:right w:w="108" w:type="dxa"/>
          </w:tblCellMar>
        </w:tblPrEx>
        <w:trPr>
          <w:trHeight w:val="540" w:hRule="atLeast"/>
          <w:jc w:val="center"/>
        </w:trPr>
        <w:tc>
          <w:tcPr>
            <w:tcW w:w="0" w:type="auto"/>
            <w:noWrap w:val="0"/>
            <w:vAlign w:val="center"/>
          </w:tcPr>
          <w:p w14:paraId="328F4F70">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甲方（盖章）：</w:t>
            </w:r>
          </w:p>
        </w:tc>
        <w:tc>
          <w:tcPr>
            <w:tcW w:w="0" w:type="auto"/>
            <w:noWrap w:val="0"/>
            <w:vAlign w:val="center"/>
          </w:tcPr>
          <w:p w14:paraId="396ACDA0">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乙方（盖章）：</w:t>
            </w:r>
          </w:p>
        </w:tc>
      </w:tr>
      <w:tr w14:paraId="3144EBB7">
        <w:tblPrEx>
          <w:tblCellMar>
            <w:top w:w="0" w:type="dxa"/>
            <w:left w:w="108" w:type="dxa"/>
            <w:bottom w:w="0" w:type="dxa"/>
            <w:right w:w="108" w:type="dxa"/>
          </w:tblCellMar>
        </w:tblPrEx>
        <w:trPr>
          <w:trHeight w:val="540" w:hRule="atLeast"/>
          <w:jc w:val="center"/>
        </w:trPr>
        <w:tc>
          <w:tcPr>
            <w:tcW w:w="0" w:type="auto"/>
            <w:noWrap w:val="0"/>
            <w:vAlign w:val="center"/>
          </w:tcPr>
          <w:p w14:paraId="369EFF63">
            <w:pPr>
              <w:keepNext/>
              <w:keepLines/>
              <w:pageBreakBefore w:val="0"/>
              <w:widowControl w:val="0"/>
              <w:kinsoku/>
              <w:wordWrap/>
              <w:overflowPunct/>
              <w:topLinePunct w:val="0"/>
              <w:autoSpaceDE/>
              <w:autoSpaceDN/>
              <w:bidi w:val="0"/>
              <w:adjustRightInd w:val="0"/>
              <w:snapToGrid w:val="0"/>
              <w:spacing w:line="360" w:lineRule="auto"/>
              <w:ind w:left="0"/>
              <w:jc w:val="left"/>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统一社会信用代码：</w:t>
            </w:r>
          </w:p>
        </w:tc>
        <w:tc>
          <w:tcPr>
            <w:tcW w:w="0" w:type="auto"/>
            <w:noWrap w:val="0"/>
            <w:vAlign w:val="center"/>
          </w:tcPr>
          <w:p w14:paraId="2C84404C">
            <w:pPr>
              <w:keepNext/>
              <w:keepLines/>
              <w:pageBreakBefore w:val="0"/>
              <w:widowControl w:val="0"/>
              <w:kinsoku/>
              <w:wordWrap/>
              <w:overflowPunct/>
              <w:topLinePunct w:val="0"/>
              <w:autoSpaceDE/>
              <w:autoSpaceDN/>
              <w:bidi w:val="0"/>
              <w:adjustRightInd w:val="0"/>
              <w:snapToGrid w:val="0"/>
              <w:spacing w:line="360" w:lineRule="auto"/>
              <w:ind w:left="0"/>
              <w:jc w:val="left"/>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统一社会信用代码：</w:t>
            </w:r>
          </w:p>
        </w:tc>
      </w:tr>
      <w:tr w14:paraId="7DD4E338">
        <w:tblPrEx>
          <w:tblCellMar>
            <w:top w:w="0" w:type="dxa"/>
            <w:left w:w="108" w:type="dxa"/>
            <w:bottom w:w="0" w:type="dxa"/>
            <w:right w:w="108" w:type="dxa"/>
          </w:tblCellMar>
        </w:tblPrEx>
        <w:trPr>
          <w:trHeight w:val="1082" w:hRule="atLeast"/>
          <w:jc w:val="center"/>
        </w:trPr>
        <w:tc>
          <w:tcPr>
            <w:tcW w:w="0" w:type="auto"/>
            <w:noWrap w:val="0"/>
            <w:vAlign w:val="center"/>
          </w:tcPr>
          <w:p w14:paraId="4BE98066">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负责人</w:t>
            </w:r>
          </w:p>
          <w:p w14:paraId="6CD2DBC0">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或委托代理人（签字）：</w:t>
            </w:r>
          </w:p>
        </w:tc>
        <w:tc>
          <w:tcPr>
            <w:tcW w:w="0" w:type="auto"/>
            <w:noWrap w:val="0"/>
            <w:vAlign w:val="center"/>
          </w:tcPr>
          <w:p w14:paraId="1340750D">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法定代表人</w:t>
            </w:r>
          </w:p>
          <w:p w14:paraId="1B705789">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或委托代理人（签字）：</w:t>
            </w:r>
          </w:p>
        </w:tc>
      </w:tr>
      <w:tr w14:paraId="2770CF98">
        <w:tblPrEx>
          <w:tblCellMar>
            <w:top w:w="0" w:type="dxa"/>
            <w:left w:w="108" w:type="dxa"/>
            <w:bottom w:w="0" w:type="dxa"/>
            <w:right w:w="108" w:type="dxa"/>
          </w:tblCellMar>
        </w:tblPrEx>
        <w:trPr>
          <w:trHeight w:val="540" w:hRule="atLeast"/>
          <w:jc w:val="center"/>
        </w:trPr>
        <w:tc>
          <w:tcPr>
            <w:tcW w:w="0" w:type="auto"/>
            <w:noWrap w:val="0"/>
            <w:vAlign w:val="center"/>
          </w:tcPr>
          <w:p w14:paraId="6B631B81">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地址：</w:t>
            </w:r>
          </w:p>
        </w:tc>
        <w:tc>
          <w:tcPr>
            <w:tcW w:w="0" w:type="auto"/>
            <w:noWrap w:val="0"/>
            <w:vAlign w:val="center"/>
          </w:tcPr>
          <w:p w14:paraId="5A560C90">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地址：</w:t>
            </w:r>
          </w:p>
        </w:tc>
      </w:tr>
      <w:tr w14:paraId="25C01519">
        <w:tblPrEx>
          <w:tblCellMar>
            <w:top w:w="0" w:type="dxa"/>
            <w:left w:w="108" w:type="dxa"/>
            <w:bottom w:w="0" w:type="dxa"/>
            <w:right w:w="108" w:type="dxa"/>
          </w:tblCellMar>
        </w:tblPrEx>
        <w:trPr>
          <w:trHeight w:val="540" w:hRule="atLeast"/>
          <w:jc w:val="center"/>
        </w:trPr>
        <w:tc>
          <w:tcPr>
            <w:tcW w:w="0" w:type="auto"/>
            <w:noWrap w:val="0"/>
            <w:vAlign w:val="center"/>
          </w:tcPr>
          <w:p w14:paraId="05FE6453">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联系电话：</w:t>
            </w:r>
          </w:p>
        </w:tc>
        <w:tc>
          <w:tcPr>
            <w:tcW w:w="0" w:type="auto"/>
            <w:noWrap w:val="0"/>
            <w:vAlign w:val="center"/>
          </w:tcPr>
          <w:p w14:paraId="3AB91352">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联系电话：</w:t>
            </w:r>
          </w:p>
        </w:tc>
      </w:tr>
      <w:tr w14:paraId="1CEB4EEE">
        <w:tblPrEx>
          <w:tblCellMar>
            <w:top w:w="0" w:type="dxa"/>
            <w:left w:w="108" w:type="dxa"/>
            <w:bottom w:w="0" w:type="dxa"/>
            <w:right w:w="108" w:type="dxa"/>
          </w:tblCellMar>
        </w:tblPrEx>
        <w:trPr>
          <w:trHeight w:val="540" w:hRule="atLeast"/>
          <w:jc w:val="center"/>
        </w:trPr>
        <w:tc>
          <w:tcPr>
            <w:tcW w:w="0" w:type="auto"/>
            <w:noWrap w:val="0"/>
            <w:vAlign w:val="center"/>
          </w:tcPr>
          <w:p w14:paraId="1C3FD10E">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开户银行：</w:t>
            </w:r>
          </w:p>
        </w:tc>
        <w:tc>
          <w:tcPr>
            <w:tcW w:w="0" w:type="auto"/>
            <w:noWrap w:val="0"/>
            <w:vAlign w:val="center"/>
          </w:tcPr>
          <w:p w14:paraId="011E2879">
            <w:pPr>
              <w:keepNext/>
              <w:keepLines/>
              <w:pageBreakBefore w:val="0"/>
              <w:widowControl w:val="0"/>
              <w:kinsoku/>
              <w:wordWrap/>
              <w:overflowPunct/>
              <w:topLinePunct w:val="0"/>
              <w:autoSpaceDE/>
              <w:autoSpaceDN/>
              <w:bidi w:val="0"/>
              <w:adjustRightInd w:val="0"/>
              <w:snapToGrid w:val="0"/>
              <w:spacing w:line="360" w:lineRule="auto"/>
              <w:ind w:left="0"/>
              <w:jc w:val="left"/>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开户银行：                </w:t>
            </w:r>
          </w:p>
        </w:tc>
      </w:tr>
      <w:tr w14:paraId="5A43AD9B">
        <w:tblPrEx>
          <w:tblCellMar>
            <w:top w:w="0" w:type="dxa"/>
            <w:left w:w="108" w:type="dxa"/>
            <w:bottom w:w="0" w:type="dxa"/>
            <w:right w:w="108" w:type="dxa"/>
          </w:tblCellMar>
        </w:tblPrEx>
        <w:trPr>
          <w:trHeight w:val="540" w:hRule="atLeast"/>
          <w:jc w:val="center"/>
        </w:trPr>
        <w:tc>
          <w:tcPr>
            <w:tcW w:w="0" w:type="auto"/>
            <w:noWrap w:val="0"/>
            <w:vAlign w:val="center"/>
          </w:tcPr>
          <w:p w14:paraId="2AB32F65">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银行账号：</w:t>
            </w:r>
          </w:p>
        </w:tc>
        <w:tc>
          <w:tcPr>
            <w:tcW w:w="0" w:type="auto"/>
            <w:noWrap w:val="0"/>
            <w:vAlign w:val="center"/>
          </w:tcPr>
          <w:p w14:paraId="120F6382">
            <w:pPr>
              <w:keepNext/>
              <w:keepLines/>
              <w:pageBreakBefore w:val="0"/>
              <w:widowControl w:val="0"/>
              <w:kinsoku/>
              <w:wordWrap/>
              <w:overflowPunct/>
              <w:topLinePunct w:val="0"/>
              <w:autoSpaceDE/>
              <w:autoSpaceDN/>
              <w:bidi w:val="0"/>
              <w:adjustRightInd w:val="0"/>
              <w:snapToGrid w:val="0"/>
              <w:spacing w:line="360" w:lineRule="auto"/>
              <w:ind w:left="0"/>
              <w:jc w:val="left"/>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银行账号：</w:t>
            </w:r>
          </w:p>
        </w:tc>
      </w:tr>
      <w:tr w14:paraId="2A98CFF8">
        <w:tblPrEx>
          <w:tblCellMar>
            <w:top w:w="0" w:type="dxa"/>
            <w:left w:w="108" w:type="dxa"/>
            <w:bottom w:w="0" w:type="dxa"/>
            <w:right w:w="108" w:type="dxa"/>
          </w:tblCellMar>
        </w:tblPrEx>
        <w:trPr>
          <w:trHeight w:val="540" w:hRule="atLeast"/>
          <w:jc w:val="center"/>
        </w:trPr>
        <w:tc>
          <w:tcPr>
            <w:tcW w:w="0" w:type="auto"/>
            <w:noWrap w:val="0"/>
            <w:vAlign w:val="center"/>
          </w:tcPr>
          <w:p w14:paraId="37D33FC6">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签订日期：    年  月  日</w:t>
            </w:r>
          </w:p>
        </w:tc>
        <w:tc>
          <w:tcPr>
            <w:tcW w:w="0" w:type="auto"/>
            <w:noWrap w:val="0"/>
            <w:vAlign w:val="center"/>
          </w:tcPr>
          <w:p w14:paraId="7FD8D551">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签订日期：    年  月  日</w:t>
            </w:r>
          </w:p>
        </w:tc>
      </w:tr>
    </w:tbl>
    <w:p w14:paraId="1840ED5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Sans Serif">
    <w:altName w:val="Arial"/>
    <w:panose1 w:val="020B0604020202020204"/>
    <w:charset w:val="00"/>
    <w:family w:val="swiss"/>
    <w:pitch w:val="default"/>
    <w:sig w:usb0="00000000" w:usb1="00000000" w:usb2="00000000" w:usb3="00000000" w:csb0="00000001" w:csb1="00000000"/>
  </w:font>
  <w:font w:name="Droid Sans Fallback">
    <w:altName w:val="宋体"/>
    <w:panose1 w:val="00000000000000000000"/>
    <w:charset w:val="86"/>
    <w:family w:val="swiss"/>
    <w:pitch w:val="default"/>
    <w:sig w:usb0="00000000" w:usb1="00000000" w:usb2="00000016" w:usb3="00000000" w:csb0="203F01FF" w:csb1="D7FF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4CC1FD">
    <w:pPr>
      <w:pStyle w:val="4"/>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3C93CA2">
                          <w:pPr>
                            <w:pStyle w:val="4"/>
                          </w:pPr>
                          <w:r>
                            <w:t xml:space="preserve">第 </w:t>
                          </w:r>
                          <w:r>
                            <w:fldChar w:fldCharType="begin"/>
                          </w:r>
                          <w:r>
                            <w:instrText xml:space="preserve"> PAGE  \* MERGEFORMAT </w:instrText>
                          </w:r>
                          <w:r>
                            <w:fldChar w:fldCharType="separate"/>
                          </w:r>
                          <w:r>
                            <w:t>20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73C93CA2">
                    <w:pPr>
                      <w:pStyle w:val="4"/>
                    </w:pPr>
                    <w:r>
                      <w:t xml:space="preserve">第 </w:t>
                    </w:r>
                    <w:r>
                      <w:fldChar w:fldCharType="begin"/>
                    </w:r>
                    <w:r>
                      <w:instrText xml:space="preserve"> PAGE  \* MERGEFORMAT </w:instrText>
                    </w:r>
                    <w:r>
                      <w:fldChar w:fldCharType="separate"/>
                    </w:r>
                    <w:r>
                      <w:t>20</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80B377">
    <w:pPr>
      <w:pStyle w:val="5"/>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49053A"/>
    <w:rsid w:val="0F201428"/>
    <w:rsid w:val="2949053A"/>
    <w:rsid w:val="3D3143EC"/>
    <w:rsid w:val="5A8042EB"/>
    <w:rsid w:val="5F8A57E4"/>
    <w:rsid w:val="70187047"/>
    <w:rsid w:val="7E9D20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rFonts w:ascii="宋体" w:hAnsi="宋体" w:eastAsia="宋体" w:cs="宋体"/>
      <w:sz w:val="21"/>
      <w:szCs w:val="21"/>
      <w:lang w:val="zh-CN" w:eastAsia="zh-CN" w:bidi="zh-CN"/>
    </w:rPr>
  </w:style>
  <w:style w:type="paragraph" w:styleId="3">
    <w:name w:val="Body Text Indent 2"/>
    <w:basedOn w:val="1"/>
    <w:qFormat/>
    <w:uiPriority w:val="99"/>
    <w:pPr>
      <w:overflowPunct w:val="0"/>
      <w:autoSpaceDE w:val="0"/>
      <w:autoSpaceDN w:val="0"/>
      <w:adjustRightInd w:val="0"/>
      <w:spacing w:line="360" w:lineRule="auto"/>
      <w:ind w:firstLine="555"/>
      <w:textAlignment w:val="baseline"/>
    </w:pPr>
    <w:rPr>
      <w:rFonts w:ascii="宋体" w:hAnsi="MS Sans Serif"/>
      <w:spacing w:val="12"/>
      <w:sz w:val="24"/>
      <w:szCs w:val="22"/>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toc 1"/>
    <w:basedOn w:val="1"/>
    <w:next w:val="1"/>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3004</Words>
  <Characters>3070</Characters>
  <Lines>0</Lines>
  <Paragraphs>0</Paragraphs>
  <TotalTime>8</TotalTime>
  <ScaleCrop>false</ScaleCrop>
  <LinksUpToDate>false</LinksUpToDate>
  <CharactersWithSpaces>3278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2025-10-26T08:33:00Z</dcterms:created>
  <dc:creator>情似风</dc:creator>
  <cp:lastModifiedBy>情似风</cp:lastModifiedBy>
  <dcterms:modified xsi:type="dcterms:W3CDTF">2025-11-03T11:10:29Z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7B790A4EDB5842739955BDCB5E7C9E5D_11</vt:lpwstr>
  </property>
  <property fmtid="{D5CDD505-2E9C-101B-9397-08002B2CF9AE}" pid="4" name="KSOTemplateDocerSaveRecord">
    <vt:lpwstr>eyJoZGlkIjoiMGEwODMxYWI2YTFlNGFjNzlmMDFmOWQ1YzcxM2MzNTMiLCJ1c2VySWQiOiIyNjAzNTY4OTQifQ==</vt:lpwstr>
  </property>
</Properties>
</file>