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版本号：TXHZ-2025101420251105001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汉中市略阳县2025年第二批中央财政森林修复项目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TXHZ-20251014</w:t>
      </w:r>
      <w:r>
        <w:br/>
      </w:r>
      <w:r>
        <w:br/>
      </w:r>
      <w:r>
        <w:br/>
      </w:r>
    </w:p>
    <w:p>
      <w:pPr>
        <w:pStyle w:val="null3"/>
        <w:jc w:val="center"/>
        <w:outlineLvl w:val="2"/>
      </w:pPr>
      <w:r>
        <w:rPr>
          <w:rFonts w:ascii="仿宋_GB2312" w:hAnsi="仿宋_GB2312" w:cs="仿宋_GB2312" w:eastAsia="仿宋_GB2312"/>
          <w:sz w:val="28"/>
          <w:b/>
        </w:rPr>
        <w:t>略阳县国有铁厂坝林场</w:t>
      </w:r>
    </w:p>
    <w:p>
      <w:pPr>
        <w:pStyle w:val="null3"/>
        <w:jc w:val="center"/>
        <w:outlineLvl w:val="2"/>
      </w:pPr>
      <w:r>
        <w:rPr>
          <w:rFonts w:ascii="仿宋_GB2312" w:hAnsi="仿宋_GB2312" w:cs="仿宋_GB2312" w:eastAsia="仿宋_GB2312"/>
          <w:sz w:val="28"/>
          <w:b/>
        </w:rPr>
        <w:t>铁兴建设管理集团有限公司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2025年11月05日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铁兴建设管理集团有限公司</w:t>
      </w:r>
      <w:r>
        <w:rPr>
          <w:rFonts w:ascii="仿宋_GB2312" w:hAnsi="仿宋_GB2312" w:cs="仿宋_GB2312" w:eastAsia="仿宋_GB2312"/>
        </w:rPr>
        <w:t>（以下简称“代理机构”）受</w:t>
      </w:r>
      <w:r>
        <w:rPr>
          <w:rFonts w:ascii="仿宋_GB2312" w:hAnsi="仿宋_GB2312" w:cs="仿宋_GB2312" w:eastAsia="仿宋_GB2312"/>
        </w:rPr>
        <w:t>略阳县国有铁厂坝林场</w:t>
      </w:r>
      <w:r>
        <w:rPr>
          <w:rFonts w:ascii="仿宋_GB2312" w:hAnsi="仿宋_GB2312" w:cs="仿宋_GB2312" w:eastAsia="仿宋_GB2312"/>
        </w:rPr>
        <w:t>委托，拟对</w:t>
      </w:r>
      <w:r>
        <w:rPr>
          <w:rFonts w:ascii="仿宋_GB2312" w:hAnsi="仿宋_GB2312" w:cs="仿宋_GB2312" w:eastAsia="仿宋_GB2312"/>
        </w:rPr>
        <w:t>汉中市略阳县2025年第二批中央财政森林修复项目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TXHZ-20251014</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汉中市略阳县2025年第二批中央财政森林修复项目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项目实施地点位于略阳县两河口镇李家坝村，共11个小班，小班总面积2064.06亩，可作业面积2000亩</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采购包1（汉中市略阳县2025年第二批中央财政森林修复项目）：属于专门面向中小企业采购。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1、营业执照：具有独立承担民事责任能力的法人、其他组织或自然人，并出具合法有效的营业执照或事业单位法 人证书等国家规定的相关证明，自然人参与的提供其身份证明；</w:t>
      </w:r>
    </w:p>
    <w:p>
      <w:pPr>
        <w:pStyle w:val="null3"/>
      </w:pPr>
      <w:r>
        <w:rPr>
          <w:rFonts w:ascii="仿宋_GB2312" w:hAnsi="仿宋_GB2312" w:cs="仿宋_GB2312" w:eastAsia="仿宋_GB2312"/>
        </w:rPr>
        <w:t>2、法定代表人证明或授权委托书：供应商应授权合法的人员参加投标，非法定代表人参加投标的，须提供法定代表人授权书(附法定代 表人、被授权人身份证复印件);法定代表人直接参加投标的，须提供法定代表人身份证明(附法定代 表人身份证复印件)；</w:t>
      </w:r>
    </w:p>
    <w:p>
      <w:pPr>
        <w:pStyle w:val="null3"/>
      </w:pPr>
      <w:r>
        <w:rPr>
          <w:rFonts w:ascii="仿宋_GB2312" w:hAnsi="仿宋_GB2312" w:cs="仿宋_GB2312" w:eastAsia="仿宋_GB2312"/>
        </w:rPr>
        <w:t>3、资格承诺函：供应商须具有健全的财务会计制度、履行合同所需的设备和专业技术能力、依法缴纳税收和社会保 障资金，以及参加采购活动前3年内经营活动无重大违法活动记录，供应商须提供《汉中市政府采购 供应商资格承诺函》并签字盖章；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略阳县国有铁厂坝林场</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汉中市略阳县两河口镇</w:t>
      </w:r>
    </w:p>
    <w:p>
      <w:pPr>
        <w:pStyle w:val="null3"/>
      </w:pPr>
      <w:r>
        <w:rPr>
          <w:rFonts w:ascii="仿宋_GB2312" w:hAnsi="仿宋_GB2312" w:cs="仿宋_GB2312" w:eastAsia="仿宋_GB2312"/>
        </w:rPr>
        <w:t xml:space="preserve"> 邮编： </w:t>
      </w:r>
      <w:r>
        <w:rPr>
          <w:rFonts w:ascii="仿宋_GB2312" w:hAnsi="仿宋_GB2312" w:cs="仿宋_GB2312" w:eastAsia="仿宋_GB2312"/>
        </w:rPr>
        <w:t>724300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淡先生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0916-4833681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铁兴建设管理集团有限公司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汉中市汉台区汉中路街道办事处滨江西路玫瑰庄园1-5205</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邓先生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0916-8886777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略阳县政府采购管理股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杨女士</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0916-4822998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开户名称：铁兴建设管理集团有限公司汉中分公司</w:t>
            </w:r>
          </w:p>
          <w:p>
            <w:pPr>
              <w:pStyle w:val="null3"/>
            </w:pPr>
            <w:r>
              <w:rPr>
                <w:rFonts w:ascii="仿宋_GB2312" w:hAnsi="仿宋_GB2312" w:cs="仿宋_GB2312" w:eastAsia="仿宋_GB2312"/>
              </w:rPr>
              <w:t>开户银行：陕西汉中农村商业银行股份有限公司滨江新区支行</w:t>
            </w:r>
          </w:p>
          <w:p>
            <w:pPr>
              <w:pStyle w:val="null3"/>
            </w:pPr>
            <w:r>
              <w:rPr>
                <w:rFonts w:ascii="仿宋_GB2312" w:hAnsi="仿宋_GB2312" w:cs="仿宋_GB2312" w:eastAsia="仿宋_GB2312"/>
              </w:rPr>
              <w:t>银行账号：2706012401201000009297</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代理服务费收费标准：本项目收取代理服务费 代理服务费用收取对象：中标/成交供应商 代理服务费收费标准：招标代理服务费依据国家计价格【2002】1980号文件《招标代理服务 收费管理暂行办法》、国家发展改革委员会办公厅颁发的《关于招标代理服务费收费有关问题 的通知》、《调整后的招标代理服务收费标准》（发改价格【2011】534号）文件规定的标准 向成交（中标）单位计取招标代理服务费。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略阳县国有铁厂坝林场</w:t>
      </w:r>
      <w:r>
        <w:rPr>
          <w:rFonts w:ascii="仿宋_GB2312" w:hAnsi="仿宋_GB2312" w:cs="仿宋_GB2312" w:eastAsia="仿宋_GB2312"/>
        </w:rPr>
        <w:t>和</w:t>
      </w:r>
      <w:r>
        <w:rPr>
          <w:rFonts w:ascii="仿宋_GB2312" w:hAnsi="仿宋_GB2312" w:cs="仿宋_GB2312" w:eastAsia="仿宋_GB2312"/>
        </w:rPr>
        <w:t>铁兴建设管理集团有限公司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略阳县国有铁厂坝林场</w:t>
      </w:r>
      <w:r>
        <w:rPr>
          <w:rFonts w:ascii="仿宋_GB2312" w:hAnsi="仿宋_GB2312" w:cs="仿宋_GB2312" w:eastAsia="仿宋_GB2312"/>
        </w:rPr>
        <w:t>负责解释。除上述磋商文件内容，其他内容由</w:t>
      </w:r>
      <w:r>
        <w:rPr>
          <w:rFonts w:ascii="仿宋_GB2312" w:hAnsi="仿宋_GB2312" w:cs="仿宋_GB2312" w:eastAsia="仿宋_GB2312"/>
        </w:rPr>
        <w:t>铁兴建设管理集团有限公司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略阳县国有铁厂坝林场</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铁兴建设管理集团有限公司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按照招标文件和合同等相关文件约定执行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铁兴建设管理集团有限公司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铁兴建设管理集团有限公司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铁兴建设管理集团有限公司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联系人：邓先生</w:t>
      </w:r>
    </w:p>
    <w:p>
      <w:pPr>
        <w:pStyle w:val="null3"/>
      </w:pPr>
      <w:r>
        <w:rPr>
          <w:rFonts w:ascii="仿宋_GB2312" w:hAnsi="仿宋_GB2312" w:cs="仿宋_GB2312" w:eastAsia="仿宋_GB2312"/>
        </w:rPr>
        <w:t>联系电话：0916-8886777</w:t>
      </w:r>
    </w:p>
    <w:p>
      <w:pPr>
        <w:pStyle w:val="null3"/>
      </w:pPr>
      <w:r>
        <w:rPr>
          <w:rFonts w:ascii="仿宋_GB2312" w:hAnsi="仿宋_GB2312" w:cs="仿宋_GB2312" w:eastAsia="仿宋_GB2312"/>
        </w:rPr>
        <w:t>地址：汉中市汉台区汉中路街道办事处滨江西路玫瑰庄园1-5205</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项目实施地点位于略阳县两河口镇李家坝村，共11个小班，小班总面积2064.06亩，可作业面积2000亩</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700,000.00</w:t>
      </w:r>
    </w:p>
    <w:p>
      <w:pPr>
        <w:pStyle w:val="null3"/>
      </w:pPr>
      <w:r>
        <w:rPr>
          <w:rFonts w:ascii="仿宋_GB2312" w:hAnsi="仿宋_GB2312" w:cs="仿宋_GB2312" w:eastAsia="仿宋_GB2312"/>
        </w:rPr>
        <w:t>采购包最高限价（元）: 700,000.00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森林抚育</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标的名称：森林抚育</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outlineLvl w:val="1"/>
            </w:pPr>
            <w:r>
              <w:rPr>
                <w:rFonts w:ascii="仿宋_GB2312" w:hAnsi="仿宋_GB2312" w:cs="仿宋_GB2312" w:eastAsia="仿宋_GB2312"/>
                <w:sz w:val="32"/>
                <w:b/>
              </w:rPr>
              <w:t>1 作业内容</w:t>
            </w:r>
          </w:p>
          <w:p>
            <w:pPr>
              <w:pStyle w:val="null3"/>
              <w:jc w:val="both"/>
              <w:outlineLvl w:val="2"/>
            </w:pPr>
            <w:r>
              <w:rPr>
                <w:rFonts w:ascii="仿宋_GB2312" w:hAnsi="仿宋_GB2312" w:cs="仿宋_GB2312" w:eastAsia="仿宋_GB2312"/>
                <w:sz w:val="32"/>
                <w:b/>
              </w:rPr>
              <w:t>1.1 森林抚育规模</w:t>
            </w:r>
          </w:p>
          <w:p>
            <w:pPr>
              <w:pStyle w:val="null3"/>
              <w:ind w:firstLine="640"/>
              <w:jc w:val="both"/>
            </w:pPr>
            <w:r>
              <w:rPr>
                <w:rFonts w:ascii="仿宋_GB2312" w:hAnsi="仿宋_GB2312" w:cs="仿宋_GB2312" w:eastAsia="仿宋_GB2312"/>
                <w:sz w:val="32"/>
              </w:rPr>
              <w:t>略阳县国有铁厂坝林场</w:t>
            </w:r>
            <w:r>
              <w:rPr>
                <w:rFonts w:ascii="仿宋_GB2312" w:hAnsi="仿宋_GB2312" w:cs="仿宋_GB2312" w:eastAsia="仿宋_GB2312"/>
                <w:sz w:val="32"/>
              </w:rPr>
              <w:t>2025年</w:t>
            </w:r>
            <w:r>
              <w:rPr>
                <w:rFonts w:ascii="仿宋_GB2312" w:hAnsi="仿宋_GB2312" w:cs="仿宋_GB2312" w:eastAsia="仿宋_GB2312"/>
                <w:sz w:val="32"/>
              </w:rPr>
              <w:t>第二批</w:t>
            </w:r>
            <w:r>
              <w:rPr>
                <w:rFonts w:ascii="仿宋_GB2312" w:hAnsi="仿宋_GB2312" w:cs="仿宋_GB2312" w:eastAsia="仿宋_GB2312"/>
                <w:sz w:val="32"/>
              </w:rPr>
              <w:t>中央财政森林修复项目区划涉及</w:t>
            </w:r>
            <w:r>
              <w:rPr>
                <w:rFonts w:ascii="仿宋_GB2312" w:hAnsi="仿宋_GB2312" w:cs="仿宋_GB2312" w:eastAsia="仿宋_GB2312"/>
                <w:sz w:val="32"/>
              </w:rPr>
              <w:t>略阳</w:t>
            </w:r>
            <w:r>
              <w:rPr>
                <w:rFonts w:ascii="仿宋_GB2312" w:hAnsi="仿宋_GB2312" w:cs="仿宋_GB2312" w:eastAsia="仿宋_GB2312"/>
                <w:sz w:val="32"/>
              </w:rPr>
              <w:t>县</w:t>
            </w:r>
            <w:r>
              <w:rPr>
                <w:rFonts w:ascii="仿宋_GB2312" w:hAnsi="仿宋_GB2312" w:cs="仿宋_GB2312" w:eastAsia="仿宋_GB2312"/>
                <w:sz w:val="32"/>
              </w:rPr>
              <w:t>两河口</w:t>
            </w:r>
            <w:r>
              <w:rPr>
                <w:rFonts w:ascii="仿宋_GB2312" w:hAnsi="仿宋_GB2312" w:cs="仿宋_GB2312" w:eastAsia="仿宋_GB2312"/>
                <w:sz w:val="32"/>
              </w:rPr>
              <w:t>镇</w:t>
            </w:r>
            <w:r>
              <w:rPr>
                <w:rFonts w:ascii="仿宋_GB2312" w:hAnsi="仿宋_GB2312" w:cs="仿宋_GB2312" w:eastAsia="仿宋_GB2312"/>
                <w:sz w:val="32"/>
              </w:rPr>
              <w:t>李家坝</w:t>
            </w:r>
            <w:r>
              <w:rPr>
                <w:rFonts w:ascii="仿宋_GB2312" w:hAnsi="仿宋_GB2312" w:cs="仿宋_GB2312" w:eastAsia="仿宋_GB2312"/>
                <w:sz w:val="32"/>
              </w:rPr>
              <w:t>村</w:t>
            </w:r>
            <w:r>
              <w:rPr>
                <w:rFonts w:ascii="仿宋_GB2312" w:hAnsi="仿宋_GB2312" w:cs="仿宋_GB2312" w:eastAsia="仿宋_GB2312"/>
                <w:sz w:val="32"/>
              </w:rPr>
              <w:t>胡家沟作业区</w:t>
            </w:r>
            <w:r>
              <w:rPr>
                <w:rFonts w:ascii="仿宋_GB2312" w:hAnsi="仿宋_GB2312" w:cs="仿宋_GB2312" w:eastAsia="仿宋_GB2312"/>
                <w:sz w:val="32"/>
              </w:rPr>
              <w:t>，</w:t>
            </w:r>
            <w:r>
              <w:rPr>
                <w:rFonts w:ascii="仿宋_GB2312" w:hAnsi="仿宋_GB2312" w:cs="仿宋_GB2312" w:eastAsia="仿宋_GB2312"/>
                <w:sz w:val="32"/>
              </w:rPr>
              <w:t>共计</w:t>
            </w:r>
            <w:r>
              <w:rPr>
                <w:rFonts w:ascii="仿宋_GB2312" w:hAnsi="仿宋_GB2312" w:cs="仿宋_GB2312" w:eastAsia="仿宋_GB2312"/>
                <w:sz w:val="32"/>
              </w:rPr>
              <w:t>11</w:t>
            </w:r>
            <w:r>
              <w:rPr>
                <w:rFonts w:ascii="仿宋_GB2312" w:hAnsi="仿宋_GB2312" w:cs="仿宋_GB2312" w:eastAsia="仿宋_GB2312"/>
                <w:sz w:val="32"/>
              </w:rPr>
              <w:t>个小班，小班总面积</w:t>
            </w:r>
            <w:r>
              <w:rPr>
                <w:rFonts w:ascii="仿宋_GB2312" w:hAnsi="仿宋_GB2312" w:cs="仿宋_GB2312" w:eastAsia="仿宋_GB2312"/>
                <w:sz w:val="32"/>
              </w:rPr>
              <w:t>2064.06</w:t>
            </w:r>
            <w:r>
              <w:rPr>
                <w:rFonts w:ascii="仿宋_GB2312" w:hAnsi="仿宋_GB2312" w:cs="仿宋_GB2312" w:eastAsia="仿宋_GB2312"/>
                <w:sz w:val="32"/>
              </w:rPr>
              <w:t>亩，可作业面积</w:t>
            </w:r>
            <w:r>
              <w:rPr>
                <w:rFonts w:ascii="仿宋_GB2312" w:hAnsi="仿宋_GB2312" w:cs="仿宋_GB2312" w:eastAsia="仿宋_GB2312"/>
                <w:sz w:val="32"/>
              </w:rPr>
              <w:t>20</w:t>
            </w:r>
            <w:r>
              <w:rPr>
                <w:rFonts w:ascii="仿宋_GB2312" w:hAnsi="仿宋_GB2312" w:cs="仿宋_GB2312" w:eastAsia="仿宋_GB2312"/>
                <w:sz w:val="32"/>
              </w:rPr>
              <w:t>00亩。</w:t>
            </w:r>
          </w:p>
          <w:p>
            <w:pPr>
              <w:pStyle w:val="null3"/>
              <w:jc w:val="both"/>
              <w:outlineLvl w:val="2"/>
            </w:pPr>
            <w:r>
              <w:rPr>
                <w:rFonts w:ascii="仿宋_GB2312" w:hAnsi="仿宋_GB2312" w:cs="仿宋_GB2312" w:eastAsia="仿宋_GB2312"/>
                <w:sz w:val="32"/>
                <w:b/>
              </w:rPr>
              <w:t>1.2森林抚育对象</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1）林分密度过大，林冠下杂灌丛生、濒死木、枯死木和生长不良木较多，林内通风透光条件较差的林分。</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2）存在林中空地，林分密度不均的林分。</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3）林内存有病虫木、风折木、雪压木等，林内卫生状况较差的林分。</w:t>
            </w:r>
          </w:p>
          <w:p>
            <w:pPr>
              <w:pStyle w:val="null3"/>
              <w:jc w:val="both"/>
              <w:outlineLvl w:val="2"/>
            </w:pPr>
            <w:r>
              <w:rPr>
                <w:rFonts w:ascii="仿宋_GB2312" w:hAnsi="仿宋_GB2312" w:cs="仿宋_GB2312" w:eastAsia="仿宋_GB2312"/>
                <w:sz w:val="32"/>
                <w:b/>
              </w:rPr>
              <w:t>1.3抚育目标</w:t>
            </w:r>
          </w:p>
          <w:p>
            <w:pPr>
              <w:pStyle w:val="null3"/>
              <w:ind w:firstLine="640"/>
              <w:jc w:val="both"/>
            </w:pPr>
            <w:r>
              <w:rPr>
                <w:rFonts w:ascii="仿宋_GB2312" w:hAnsi="仿宋_GB2312" w:cs="仿宋_GB2312" w:eastAsia="仿宋_GB2312"/>
                <w:sz w:val="32"/>
              </w:rPr>
              <w:t>通过采取采伐措施，清除枯死木、濒死木、病虫木、生长不良植株，促进林木生长，提高森林质量；通过采取补植措施，提高林分郁闭度，增加植被覆盖度，形成针阔混交林，增加生物多样性，改善森林结构，恢复森林功能，促进森林生态系统正向演替；通过修枝、割灌等辅助措施，改善林内通风透光条件，促进目标树种幼树幼苗健康生长。</w:t>
            </w:r>
          </w:p>
          <w:p>
            <w:pPr>
              <w:pStyle w:val="null3"/>
              <w:jc w:val="both"/>
              <w:outlineLvl w:val="2"/>
            </w:pPr>
            <w:r>
              <w:rPr>
                <w:rFonts w:ascii="仿宋_GB2312" w:hAnsi="仿宋_GB2312" w:cs="仿宋_GB2312" w:eastAsia="仿宋_GB2312"/>
                <w:sz w:val="32"/>
                <w:b/>
              </w:rPr>
              <w:t>1.4森林抚育方式</w:t>
            </w:r>
          </w:p>
          <w:p>
            <w:pPr>
              <w:pStyle w:val="null3"/>
              <w:ind w:firstLine="640"/>
              <w:jc w:val="both"/>
            </w:pPr>
            <w:r>
              <w:rPr>
                <w:rFonts w:ascii="仿宋_GB2312" w:hAnsi="仿宋_GB2312" w:cs="仿宋_GB2312" w:eastAsia="仿宋_GB2312"/>
                <w:sz w:val="32"/>
              </w:rPr>
              <w:t>根据森林抚育作业设计规定，结合现地调查结果，</w:t>
            </w:r>
            <w:r>
              <w:rPr>
                <w:rFonts w:ascii="仿宋_GB2312" w:hAnsi="仿宋_GB2312" w:cs="仿宋_GB2312" w:eastAsia="仿宋_GB2312"/>
                <w:sz w:val="32"/>
              </w:rPr>
              <w:t>林场</w:t>
            </w:r>
            <w:r>
              <w:rPr>
                <w:rFonts w:ascii="仿宋_GB2312" w:hAnsi="仿宋_GB2312" w:cs="仿宋_GB2312" w:eastAsia="仿宋_GB2312"/>
                <w:sz w:val="32"/>
              </w:rPr>
              <w:t>多年来的经验以及抚育后监测的对比效果、当地群众的反映</w:t>
            </w:r>
            <w:r>
              <w:rPr>
                <w:rFonts w:ascii="仿宋_GB2312" w:hAnsi="仿宋_GB2312" w:cs="仿宋_GB2312" w:eastAsia="仿宋_GB2312"/>
                <w:sz w:val="32"/>
              </w:rPr>
              <w:t>，</w:t>
            </w:r>
            <w:r>
              <w:rPr>
                <w:rFonts w:ascii="仿宋_GB2312" w:hAnsi="仿宋_GB2312" w:cs="仿宋_GB2312" w:eastAsia="仿宋_GB2312"/>
                <w:sz w:val="32"/>
              </w:rPr>
              <w:t>确定抚育方式为</w:t>
            </w:r>
            <w:r>
              <w:rPr>
                <w:rFonts w:ascii="仿宋_GB2312" w:hAnsi="仿宋_GB2312" w:cs="仿宋_GB2312" w:eastAsia="仿宋_GB2312"/>
                <w:sz w:val="32"/>
              </w:rPr>
              <w:t>综合抚育</w:t>
            </w:r>
            <w:r>
              <w:rPr>
                <w:rFonts w:ascii="仿宋_GB2312" w:hAnsi="仿宋_GB2312" w:cs="仿宋_GB2312" w:eastAsia="仿宋_GB2312"/>
                <w:sz w:val="32"/>
              </w:rPr>
              <w:t>。</w:t>
            </w:r>
          </w:p>
          <w:p>
            <w:pPr>
              <w:pStyle w:val="null3"/>
              <w:ind w:firstLine="640"/>
              <w:jc w:val="both"/>
            </w:pPr>
            <w:r>
              <w:rPr>
                <w:rFonts w:ascii="仿宋_GB2312" w:hAnsi="仿宋_GB2312" w:cs="仿宋_GB2312" w:eastAsia="仿宋_GB2312"/>
                <w:sz w:val="32"/>
              </w:rPr>
              <w:t>按照森林抚育作业技术规程要求，结合作业区林分现状调查结果，森林所发挥的作用以及建设单位的要求，确定本次森林抚育方式为</w:t>
            </w:r>
            <w:r>
              <w:rPr>
                <w:rFonts w:ascii="仿宋_GB2312" w:hAnsi="仿宋_GB2312" w:cs="仿宋_GB2312" w:eastAsia="仿宋_GB2312"/>
                <w:sz w:val="32"/>
              </w:rPr>
              <w:t>疏伐</w:t>
            </w:r>
            <w:r>
              <w:rPr>
                <w:rFonts w:ascii="仿宋_GB2312" w:hAnsi="仿宋_GB2312" w:cs="仿宋_GB2312" w:eastAsia="仿宋_GB2312"/>
                <w:sz w:val="32"/>
              </w:rPr>
              <w:t>+割灌藤+补植</w:t>
            </w:r>
            <w:r>
              <w:rPr>
                <w:rFonts w:ascii="仿宋_GB2312" w:hAnsi="仿宋_GB2312" w:cs="仿宋_GB2312" w:eastAsia="仿宋_GB2312"/>
                <w:sz w:val="32"/>
              </w:rPr>
              <w:t>综合</w:t>
            </w:r>
            <w:r>
              <w:rPr>
                <w:rFonts w:ascii="仿宋_GB2312" w:hAnsi="仿宋_GB2312" w:cs="仿宋_GB2312" w:eastAsia="仿宋_GB2312"/>
                <w:sz w:val="32"/>
              </w:rPr>
              <w:t>抚育作业方法。</w:t>
            </w:r>
          </w:p>
          <w:p>
            <w:pPr>
              <w:pStyle w:val="null3"/>
              <w:ind w:firstLine="643"/>
              <w:jc w:val="both"/>
            </w:pPr>
            <w:r>
              <w:rPr>
                <w:rFonts w:ascii="仿宋_GB2312" w:hAnsi="仿宋_GB2312" w:cs="仿宋_GB2312" w:eastAsia="仿宋_GB2312"/>
                <w:sz w:val="32"/>
                <w:b/>
                <w:color w:val="000000"/>
              </w:rPr>
              <w:t>（</w:t>
            </w:r>
            <w:r>
              <w:rPr>
                <w:rFonts w:ascii="仿宋_GB2312" w:hAnsi="仿宋_GB2312" w:cs="仿宋_GB2312" w:eastAsia="仿宋_GB2312"/>
                <w:sz w:val="32"/>
                <w:b/>
                <w:color w:val="000000"/>
              </w:rPr>
              <w:t>1</w:t>
            </w:r>
            <w:r>
              <w:rPr>
                <w:rFonts w:ascii="仿宋_GB2312" w:hAnsi="仿宋_GB2312" w:cs="仿宋_GB2312" w:eastAsia="仿宋_GB2312"/>
                <w:sz w:val="32"/>
                <w:b/>
                <w:color w:val="000000"/>
              </w:rPr>
              <w:t>）疏伐</w:t>
            </w:r>
            <w:r>
              <w:rPr>
                <w:rFonts w:ascii="仿宋_GB2312" w:hAnsi="仿宋_GB2312" w:cs="仿宋_GB2312" w:eastAsia="仿宋_GB2312"/>
                <w:sz w:val="32"/>
                <w:b/>
                <w:color w:val="000000"/>
              </w:rPr>
              <w:t>+割灌</w:t>
            </w:r>
            <w:r>
              <w:rPr>
                <w:rFonts w:ascii="仿宋_GB2312" w:hAnsi="仿宋_GB2312" w:cs="仿宋_GB2312" w:eastAsia="仿宋_GB2312"/>
                <w:sz w:val="32"/>
                <w:b/>
                <w:color w:val="000000"/>
              </w:rPr>
              <w:t>藤</w:t>
            </w:r>
            <w:r>
              <w:rPr>
                <w:rFonts w:ascii="仿宋_GB2312" w:hAnsi="仿宋_GB2312" w:cs="仿宋_GB2312" w:eastAsia="仿宋_GB2312"/>
                <w:sz w:val="32"/>
                <w:b/>
                <w:color w:val="000000"/>
              </w:rPr>
              <w:t>+补植</w:t>
            </w:r>
          </w:p>
          <w:p>
            <w:pPr>
              <w:pStyle w:val="null3"/>
              <w:ind w:firstLine="640"/>
              <w:jc w:val="both"/>
            </w:pPr>
            <w:r>
              <w:rPr>
                <w:rFonts w:ascii="仿宋_GB2312" w:hAnsi="仿宋_GB2312" w:cs="仿宋_GB2312" w:eastAsia="仿宋_GB2312"/>
                <w:sz w:val="32"/>
                <w:color w:val="000000"/>
              </w:rPr>
              <w:t>1）培育树种：栎类、</w:t>
            </w:r>
            <w:r>
              <w:rPr>
                <w:rFonts w:ascii="仿宋_GB2312" w:hAnsi="仿宋_GB2312" w:cs="仿宋_GB2312" w:eastAsia="仿宋_GB2312"/>
                <w:sz w:val="32"/>
                <w:color w:val="000000"/>
              </w:rPr>
              <w:t>板栗、</w:t>
            </w:r>
            <w:r>
              <w:rPr>
                <w:rFonts w:ascii="仿宋_GB2312" w:hAnsi="仿宋_GB2312" w:cs="仿宋_GB2312" w:eastAsia="仿宋_GB2312"/>
                <w:sz w:val="32"/>
                <w:color w:val="000000"/>
              </w:rPr>
              <w:t>硬阔。</w:t>
            </w:r>
          </w:p>
          <w:p>
            <w:pPr>
              <w:pStyle w:val="null3"/>
              <w:ind w:firstLine="640"/>
              <w:jc w:val="both"/>
            </w:pPr>
            <w:r>
              <w:rPr>
                <w:rFonts w:ascii="仿宋_GB2312" w:hAnsi="仿宋_GB2312" w:cs="仿宋_GB2312" w:eastAsia="仿宋_GB2312"/>
                <w:sz w:val="32"/>
                <w:color w:val="000000"/>
              </w:rPr>
              <w:t>2）涉及小班及规模：涉及</w:t>
            </w:r>
            <w:r>
              <w:rPr>
                <w:rFonts w:ascii="仿宋_GB2312" w:hAnsi="仿宋_GB2312" w:cs="仿宋_GB2312" w:eastAsia="仿宋_GB2312"/>
                <w:sz w:val="32"/>
                <w:color w:val="000000"/>
              </w:rPr>
              <w:t>11</w:t>
            </w:r>
            <w:r>
              <w:rPr>
                <w:rFonts w:ascii="仿宋_GB2312" w:hAnsi="仿宋_GB2312" w:cs="仿宋_GB2312" w:eastAsia="仿宋_GB2312"/>
                <w:sz w:val="32"/>
                <w:color w:val="000000"/>
              </w:rPr>
              <w:t>个小班，可作业面积</w:t>
            </w:r>
            <w:r>
              <w:rPr>
                <w:rFonts w:ascii="仿宋_GB2312" w:hAnsi="仿宋_GB2312" w:cs="仿宋_GB2312" w:eastAsia="仿宋_GB2312"/>
                <w:sz w:val="32"/>
                <w:color w:val="000000"/>
              </w:rPr>
              <w:t>2000</w:t>
            </w:r>
            <w:r>
              <w:rPr>
                <w:rFonts w:ascii="仿宋_GB2312" w:hAnsi="仿宋_GB2312" w:cs="仿宋_GB2312" w:eastAsia="仿宋_GB2312"/>
                <w:sz w:val="32"/>
                <w:color w:val="000000"/>
              </w:rPr>
              <w:t>亩。</w:t>
            </w:r>
          </w:p>
          <w:p>
            <w:pPr>
              <w:pStyle w:val="null3"/>
              <w:ind w:firstLine="640"/>
              <w:jc w:val="both"/>
            </w:pPr>
            <w:r>
              <w:rPr>
                <w:rFonts w:ascii="仿宋_GB2312" w:hAnsi="仿宋_GB2312" w:cs="仿宋_GB2312" w:eastAsia="仿宋_GB2312"/>
                <w:sz w:val="32"/>
                <w:color w:val="000000"/>
              </w:rPr>
              <w:t>3）林分特点：因</w:t>
            </w:r>
            <w:r>
              <w:rPr>
                <w:rFonts w:ascii="仿宋_GB2312" w:hAnsi="仿宋_GB2312" w:cs="仿宋_GB2312" w:eastAsia="仿宋_GB2312"/>
                <w:sz w:val="32"/>
                <w:color w:val="000000"/>
              </w:rPr>
              <w:t>林内枯死木、生长不良木、病死木和濒死木较多，且林下杂灌杂藤严重影响目标幼树幼苗生长，林内通风透光条件较差。</w:t>
            </w:r>
          </w:p>
          <w:p>
            <w:pPr>
              <w:pStyle w:val="null3"/>
              <w:ind w:firstLine="640"/>
              <w:jc w:val="both"/>
            </w:pPr>
            <w:r>
              <w:rPr>
                <w:rFonts w:ascii="仿宋_GB2312" w:hAnsi="仿宋_GB2312" w:cs="仿宋_GB2312" w:eastAsia="仿宋_GB2312"/>
                <w:sz w:val="32"/>
                <w:color w:val="000000"/>
              </w:rPr>
              <w:t>4）抚育方法：伐除病虫木、枯死木、濒死木、生长不良植株；林中空地补植乡土树种，提高区域森林覆盖率；清除影响目标幼树幼苗生长的杂灌、杂藤。</w:t>
            </w:r>
          </w:p>
          <w:p>
            <w:pPr>
              <w:pStyle w:val="null3"/>
              <w:ind w:firstLine="640"/>
              <w:jc w:val="both"/>
            </w:pPr>
            <w:r>
              <w:rPr>
                <w:rFonts w:ascii="仿宋_GB2312" w:hAnsi="仿宋_GB2312" w:cs="仿宋_GB2312" w:eastAsia="仿宋_GB2312"/>
                <w:sz w:val="32"/>
                <w:color w:val="000000"/>
              </w:rPr>
              <w:t>5）采伐强度：</w:t>
            </w:r>
            <w:r>
              <w:rPr>
                <w:rFonts w:ascii="仿宋_GB2312" w:hAnsi="仿宋_GB2312" w:cs="仿宋_GB2312" w:eastAsia="仿宋_GB2312"/>
                <w:sz w:val="32"/>
                <w:color w:val="000000"/>
              </w:rPr>
              <w:t>12</w:t>
            </w:r>
            <w:r>
              <w:rPr>
                <w:rFonts w:ascii="仿宋_GB2312" w:hAnsi="仿宋_GB2312" w:cs="仿宋_GB2312" w:eastAsia="仿宋_GB2312"/>
                <w:sz w:val="32"/>
                <w:color w:val="000000"/>
              </w:rPr>
              <w:t>～</w:t>
            </w:r>
            <w:r>
              <w:rPr>
                <w:rFonts w:ascii="仿宋_GB2312" w:hAnsi="仿宋_GB2312" w:cs="仿宋_GB2312" w:eastAsia="仿宋_GB2312"/>
                <w:sz w:val="32"/>
                <w:color w:val="000000"/>
              </w:rPr>
              <w:t>15%。</w:t>
            </w:r>
          </w:p>
          <w:p>
            <w:pPr>
              <w:pStyle w:val="null3"/>
              <w:ind w:firstLine="640"/>
              <w:jc w:val="both"/>
            </w:pPr>
            <w:r>
              <w:rPr>
                <w:rFonts w:ascii="仿宋_GB2312" w:hAnsi="仿宋_GB2312" w:cs="仿宋_GB2312" w:eastAsia="仿宋_GB2312"/>
                <w:sz w:val="32"/>
                <w:color w:val="000000"/>
              </w:rPr>
              <w:t>6</w:t>
            </w:r>
            <w:r>
              <w:rPr>
                <w:rFonts w:ascii="仿宋_GB2312" w:hAnsi="仿宋_GB2312" w:cs="仿宋_GB2312" w:eastAsia="仿宋_GB2312"/>
                <w:sz w:val="32"/>
                <w:color w:val="000000"/>
              </w:rPr>
              <w:t>）割灌对象：仅割除影响目的树种幼树幼苗生长的杂灌和缠绕目标树的杂藤。</w:t>
            </w:r>
          </w:p>
          <w:p>
            <w:pPr>
              <w:pStyle w:val="null3"/>
              <w:ind w:firstLine="640"/>
              <w:jc w:val="both"/>
            </w:pPr>
            <w:r>
              <w:rPr>
                <w:rFonts w:ascii="仿宋_GB2312" w:hAnsi="仿宋_GB2312" w:cs="仿宋_GB2312" w:eastAsia="仿宋_GB2312"/>
                <w:sz w:val="32"/>
                <w:color w:val="000000"/>
              </w:rPr>
              <w:t>7</w:t>
            </w:r>
            <w:r>
              <w:rPr>
                <w:rFonts w:ascii="仿宋_GB2312" w:hAnsi="仿宋_GB2312" w:cs="仿宋_GB2312" w:eastAsia="仿宋_GB2312"/>
                <w:sz w:val="32"/>
                <w:color w:val="000000"/>
              </w:rPr>
              <w:t>）补植树种：</w:t>
            </w:r>
            <w:r>
              <w:rPr>
                <w:rFonts w:ascii="仿宋_GB2312" w:hAnsi="仿宋_GB2312" w:cs="仿宋_GB2312" w:eastAsia="仿宋_GB2312"/>
                <w:sz w:val="32"/>
                <w:color w:val="000000"/>
              </w:rPr>
              <w:t>七叶树</w:t>
            </w:r>
            <w:r>
              <w:rPr>
                <w:rFonts w:ascii="仿宋_GB2312" w:hAnsi="仿宋_GB2312" w:cs="仿宋_GB2312" w:eastAsia="仿宋_GB2312"/>
                <w:sz w:val="32"/>
                <w:color w:val="000000"/>
              </w:rPr>
              <w:t>。</w:t>
            </w:r>
          </w:p>
          <w:p>
            <w:pPr>
              <w:pStyle w:val="null3"/>
              <w:ind w:firstLine="640"/>
              <w:jc w:val="both"/>
            </w:pPr>
            <w:r>
              <w:rPr>
                <w:rFonts w:ascii="仿宋_GB2312" w:hAnsi="仿宋_GB2312" w:cs="仿宋_GB2312" w:eastAsia="仿宋_GB2312"/>
                <w:sz w:val="32"/>
                <w:color w:val="000000"/>
              </w:rPr>
              <w:t>9）</w:t>
            </w:r>
            <w:r>
              <w:rPr>
                <w:rFonts w:ascii="仿宋_GB2312" w:hAnsi="仿宋_GB2312" w:cs="仿宋_GB2312" w:eastAsia="仿宋_GB2312"/>
                <w:sz w:val="32"/>
                <w:color w:val="000000"/>
              </w:rPr>
              <w:t>整地方式及规格：采用穴状整地，规格为</w:t>
            </w:r>
            <w:r>
              <w:rPr>
                <w:rFonts w:ascii="仿宋_GB2312" w:hAnsi="仿宋_GB2312" w:cs="仿宋_GB2312" w:eastAsia="仿宋_GB2312"/>
                <w:sz w:val="32"/>
                <w:color w:val="000000"/>
              </w:rPr>
              <w:t>40×40×30 厘米。</w:t>
            </w:r>
          </w:p>
          <w:p>
            <w:pPr>
              <w:pStyle w:val="null3"/>
              <w:ind w:firstLine="640"/>
              <w:jc w:val="both"/>
            </w:pPr>
            <w:r>
              <w:rPr>
                <w:rFonts w:ascii="仿宋_GB2312" w:hAnsi="仿宋_GB2312" w:cs="仿宋_GB2312" w:eastAsia="仿宋_GB2312"/>
                <w:sz w:val="32"/>
                <w:color w:val="000000"/>
              </w:rPr>
              <w:t>10）补植密度：</w:t>
            </w:r>
            <w:r>
              <w:rPr>
                <w:rFonts w:ascii="仿宋_GB2312" w:hAnsi="仿宋_GB2312" w:cs="仿宋_GB2312" w:eastAsia="仿宋_GB2312"/>
                <w:sz w:val="32"/>
                <w:color w:val="000000"/>
              </w:rPr>
              <w:t>42</w:t>
            </w:r>
            <w:r>
              <w:rPr>
                <w:rFonts w:ascii="仿宋_GB2312" w:hAnsi="仿宋_GB2312" w:cs="仿宋_GB2312" w:eastAsia="仿宋_GB2312"/>
                <w:sz w:val="32"/>
                <w:color w:val="000000"/>
              </w:rPr>
              <w:t>株</w:t>
            </w:r>
            <w:r>
              <w:rPr>
                <w:rFonts w:ascii="仿宋_GB2312" w:hAnsi="仿宋_GB2312" w:cs="仿宋_GB2312" w:eastAsia="仿宋_GB2312"/>
                <w:sz w:val="32"/>
                <w:color w:val="000000"/>
              </w:rPr>
              <w:t>/亩。</w:t>
            </w:r>
          </w:p>
          <w:p>
            <w:pPr>
              <w:pStyle w:val="null3"/>
              <w:ind w:firstLine="640"/>
              <w:jc w:val="both"/>
            </w:pPr>
            <w:r>
              <w:rPr>
                <w:rFonts w:ascii="仿宋_GB2312" w:hAnsi="仿宋_GB2312" w:cs="仿宋_GB2312" w:eastAsia="仿宋_GB2312"/>
                <w:sz w:val="32"/>
                <w:color w:val="000000"/>
              </w:rPr>
              <w:t>11）用工内容：疏伐、补植、割灌</w:t>
            </w:r>
            <w:r>
              <w:rPr>
                <w:rFonts w:ascii="仿宋_GB2312" w:hAnsi="仿宋_GB2312" w:cs="仿宋_GB2312" w:eastAsia="仿宋_GB2312"/>
                <w:sz w:val="32"/>
                <w:color w:val="000000"/>
              </w:rPr>
              <w:t>藤</w:t>
            </w:r>
            <w:r>
              <w:rPr>
                <w:rFonts w:ascii="仿宋_GB2312" w:hAnsi="仿宋_GB2312" w:cs="仿宋_GB2312" w:eastAsia="仿宋_GB2312"/>
                <w:sz w:val="32"/>
                <w:color w:val="000000"/>
              </w:rPr>
              <w:t>。</w:t>
            </w:r>
          </w:p>
          <w:p>
            <w:pPr>
              <w:pStyle w:val="null3"/>
              <w:jc w:val="both"/>
              <w:outlineLvl w:val="1"/>
            </w:pPr>
            <w:r>
              <w:rPr>
                <w:rFonts w:ascii="仿宋_GB2312" w:hAnsi="仿宋_GB2312" w:cs="仿宋_GB2312" w:eastAsia="仿宋_GB2312"/>
                <w:sz w:val="32"/>
                <w:b/>
              </w:rPr>
              <w:t>2工序流程</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1）抚育工序</w:t>
            </w:r>
          </w:p>
          <w:p>
            <w:pPr>
              <w:pStyle w:val="null3"/>
              <w:ind w:firstLine="640"/>
              <w:jc w:val="both"/>
            </w:pPr>
            <w:r>
              <w:rPr>
                <w:rFonts w:ascii="仿宋_GB2312" w:hAnsi="仿宋_GB2312" w:cs="仿宋_GB2312" w:eastAsia="仿宋_GB2312"/>
                <w:sz w:val="32"/>
              </w:rPr>
              <w:t>森林抚育工序大致分为施工准备、施工阶段和施工验收三个阶段，各阶段工作内容见下图。</w:t>
            </w:r>
          </w:p>
          <w:p>
            <w:pPr>
              <w:pStyle w:val="null3"/>
              <w:jc w:val="center"/>
            </w:pPr>
            <w:r>
              <w:drawing>
                <wp:inline distT="0" distR="0" distB="0" distL="0">
                  <wp:extent cx="1621155" cy="787625"/>
                  <wp:docPr id="1" name="Drawing 1" descr="img"/>
                  <a:graphic xmlns:a="http://schemas.openxmlformats.org/drawingml/2006/main">
                    <a:graphicData uri="http://schemas.openxmlformats.org/drawingml/2006/picture">
                      <pic:pic xmlns:pic="http://schemas.openxmlformats.org/drawingml/2006/picture">
                        <pic:nvPicPr>
                          <pic:cNvPr id="0" name="Picture 1" descr="img"/>
                          <pic:cNvPicPr>
                            <a:picLocks noChangeAspect="true"/>
                          </pic:cNvPicPr>
                        </pic:nvPicPr>
                        <pic:blipFill>
                          <a:blip r:embed="rId6"/>
                          <a:stretch>
                            <a:fillRect/>
                          </a:stretch>
                        </pic:blipFill>
                        <pic:spPr>
                          <a:xfrm>
                            <a:off x="0" y="0"/>
                            <a:ext cx="1621155" cy="787625"/>
                          </a:xfrm>
                          <a:prstGeom prst="rect">
                            <a:avLst/>
                          </a:prstGeom>
                        </pic:spPr>
                      </pic:pic>
                    </a:graphicData>
                  </a:graphic>
                </wp:inline>
              </w:drawing>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2）作业方式</w:t>
            </w:r>
          </w:p>
          <w:p>
            <w:pPr>
              <w:pStyle w:val="null3"/>
              <w:ind w:firstLine="640"/>
              <w:jc w:val="both"/>
            </w:pPr>
            <w:r>
              <w:rPr>
                <w:rFonts w:ascii="仿宋_GB2312" w:hAnsi="仿宋_GB2312" w:cs="仿宋_GB2312" w:eastAsia="仿宋_GB2312"/>
                <w:sz w:val="32"/>
              </w:rPr>
              <w:t>根据项目区内的林分类型、特点及作业措施要求，森林抚育具体措施为疏伐</w:t>
            </w:r>
            <w:r>
              <w:rPr>
                <w:rFonts w:ascii="仿宋_GB2312" w:hAnsi="仿宋_GB2312" w:cs="仿宋_GB2312" w:eastAsia="仿宋_GB2312"/>
                <w:sz w:val="32"/>
              </w:rPr>
              <w:t>+割灌</w:t>
            </w:r>
            <w:r>
              <w:rPr>
                <w:rFonts w:ascii="仿宋_GB2312" w:hAnsi="仿宋_GB2312" w:cs="仿宋_GB2312" w:eastAsia="仿宋_GB2312"/>
                <w:sz w:val="32"/>
              </w:rPr>
              <w:t>藤</w:t>
            </w:r>
            <w:r>
              <w:rPr>
                <w:rFonts w:ascii="仿宋_GB2312" w:hAnsi="仿宋_GB2312" w:cs="仿宋_GB2312" w:eastAsia="仿宋_GB2312"/>
                <w:sz w:val="32"/>
                <w:color w:val="000000"/>
              </w:rPr>
              <w:t>+补植</w:t>
            </w:r>
            <w:r>
              <w:rPr>
                <w:rFonts w:ascii="仿宋_GB2312" w:hAnsi="仿宋_GB2312" w:cs="仿宋_GB2312" w:eastAsia="仿宋_GB2312"/>
                <w:sz w:val="32"/>
              </w:rPr>
              <w:t>，均采用人力方式。</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3）作业流程</w:t>
            </w:r>
          </w:p>
          <w:p>
            <w:pPr>
              <w:pStyle w:val="null3"/>
              <w:ind w:firstLine="640"/>
              <w:jc w:val="both"/>
            </w:pPr>
            <w:r>
              <w:rPr>
                <w:rFonts w:ascii="仿宋_GB2312" w:hAnsi="仿宋_GB2312" w:cs="仿宋_GB2312" w:eastAsia="仿宋_GB2312"/>
                <w:sz w:val="32"/>
              </w:rPr>
              <w:t>①森林抚育作业小班周界标定：在指定作业小班区域后，施工技术人员按照设计图纸沿周界采用打桩或用红漆在固定物标注等形式确定施工作业小班的周界，使森林抚育准确率达到 100%。</w:t>
            </w:r>
          </w:p>
          <w:p>
            <w:pPr>
              <w:pStyle w:val="null3"/>
              <w:ind w:firstLine="640"/>
              <w:jc w:val="both"/>
            </w:pPr>
            <w:r>
              <w:rPr>
                <w:rFonts w:ascii="仿宋_GB2312" w:hAnsi="仿宋_GB2312" w:cs="仿宋_GB2312" w:eastAsia="仿宋_GB2312"/>
                <w:sz w:val="32"/>
              </w:rPr>
              <w:t>②打号：按照作业设计确定的各小班每亩采伐强度，组织技术人员逐小班确定采伐木，打号员用红油漆对采伐木进行打号。确定保留木时要根据地形、林木的疏密程度等因素灵活掌握，忌死搬硬套。一定要注意保留林缘木、边界木和孤立木。</w:t>
            </w:r>
          </w:p>
          <w:p>
            <w:pPr>
              <w:pStyle w:val="null3"/>
              <w:ind w:firstLine="640"/>
              <w:jc w:val="both"/>
            </w:pPr>
            <w:r>
              <w:rPr>
                <w:rFonts w:ascii="仿宋_GB2312" w:hAnsi="仿宋_GB2312" w:cs="仿宋_GB2312" w:eastAsia="仿宋_GB2312"/>
                <w:sz w:val="32"/>
              </w:rPr>
              <w:t>③ 采伐：原则是“砍劣留优、砍小留大、砍密留匀、分布均匀、疏密适度”。伐除目标对象有枯死木、病死木、濒死木、密度过大和生长落后的林木、无培育价值的个体木；对株距过密的幼龄林，保留木周边胸径5厘米以下的幼树或生长不良的个体进行适度伐除；对丛生的，保留1-2株粗壮、健康植株，伐除其他植株。同时清除病虫害、风折、风倒、冰冻、雪压木，清除生态功能明显降低的被害木。病虫木采伐应当在冬春媒介昆虫羽化期内集中进行，采伐全过程集中监管。</w:t>
            </w:r>
          </w:p>
          <w:p>
            <w:pPr>
              <w:pStyle w:val="null3"/>
              <w:ind w:firstLine="640"/>
              <w:jc w:val="both"/>
            </w:pPr>
            <w:r>
              <w:rPr>
                <w:rFonts w:ascii="仿宋_GB2312" w:hAnsi="仿宋_GB2312" w:cs="仿宋_GB2312" w:eastAsia="仿宋_GB2312"/>
                <w:sz w:val="32"/>
              </w:rPr>
              <w:t>林木采伐前，需要办理林木采伐许可证，并进行公示，林木采伐时应确定并标记伐木顺序和作业小班总的树倒方向。伐木者要认真观察被伐木树冠形状、树干是否腐朽、倾斜、弯曲，风向和风力，判断树木的自然倒向，根据上述诸因素和周围其他树木的位置，有无挂枝、枯枝和其他危险因素，正确选定树木伐倒方向。应尽量降低伐根高度，伐根高度不大于</w:t>
            </w:r>
            <w:r>
              <w:rPr>
                <w:rFonts w:ascii="仿宋_GB2312" w:hAnsi="仿宋_GB2312" w:cs="仿宋_GB2312" w:eastAsia="仿宋_GB2312"/>
                <w:sz w:val="32"/>
              </w:rPr>
              <w:t>5.0cm，提高伐木技术，防止劈裂、搭挂，减少木材损失。</w:t>
            </w:r>
          </w:p>
          <w:p>
            <w:pPr>
              <w:pStyle w:val="null3"/>
              <w:ind w:firstLine="640"/>
              <w:jc w:val="both"/>
            </w:pPr>
            <w:r>
              <w:rPr>
                <w:rFonts w:ascii="仿宋_GB2312" w:hAnsi="仿宋_GB2312" w:cs="仿宋_GB2312" w:eastAsia="仿宋_GB2312"/>
                <w:sz w:val="32"/>
              </w:rPr>
              <w:t>④补植：对大于25m</w:t>
            </w:r>
            <w:r>
              <w:rPr>
                <w:rFonts w:ascii="仿宋_GB2312" w:hAnsi="仿宋_GB2312" w:cs="仿宋_GB2312" w:eastAsia="仿宋_GB2312"/>
                <w:sz w:val="32"/>
                <w:vertAlign w:val="superscript"/>
              </w:rPr>
              <w:t>2</w:t>
            </w:r>
            <w:r>
              <w:rPr>
                <w:rFonts w:ascii="仿宋_GB2312" w:hAnsi="仿宋_GB2312" w:cs="仿宋_GB2312" w:eastAsia="仿宋_GB2312"/>
                <w:sz w:val="32"/>
              </w:rPr>
              <w:t xml:space="preserve"> </w:t>
            </w:r>
            <w:r>
              <w:rPr>
                <w:rFonts w:ascii="仿宋_GB2312" w:hAnsi="仿宋_GB2312" w:cs="仿宋_GB2312" w:eastAsia="仿宋_GB2312"/>
                <w:sz w:val="32"/>
              </w:rPr>
              <w:t>的林中空地、林隙、林窗等缺株断带林分进行补植。森林抚育作业区补植树种选用当地乡土树种</w:t>
            </w:r>
            <w:r>
              <w:rPr>
                <w:rFonts w:ascii="仿宋_GB2312" w:hAnsi="仿宋_GB2312" w:cs="仿宋_GB2312" w:eastAsia="仿宋_GB2312"/>
                <w:sz w:val="32"/>
              </w:rPr>
              <w:t>七叶树</w:t>
            </w:r>
            <w:r>
              <w:rPr>
                <w:rFonts w:ascii="仿宋_GB2312" w:hAnsi="仿宋_GB2312" w:cs="仿宋_GB2312" w:eastAsia="仿宋_GB2312"/>
                <w:sz w:val="32"/>
              </w:rPr>
              <w:t>。补植后林木分布均匀，并且整个林分中没有半径大于主林层平均高的林窗；补植时不损害林分中原有的幼苗幼树。尽量不破坏原有的林下植被，尽可能减少对土壤的扰动。</w:t>
            </w:r>
          </w:p>
          <w:p>
            <w:pPr>
              <w:pStyle w:val="null3"/>
              <w:ind w:firstLine="640"/>
              <w:jc w:val="both"/>
            </w:pPr>
            <w:r>
              <w:rPr>
                <w:rFonts w:ascii="仿宋_GB2312" w:hAnsi="仿宋_GB2312" w:cs="仿宋_GB2312" w:eastAsia="仿宋_GB2312"/>
                <w:sz w:val="32"/>
              </w:rPr>
              <w:t>1）补植树种：根据项目区立地类型、植被现状、土壤特点及补植树种的生物、生态学特性，结合陕南地区多年造林经验，按照陕西省林业局关于印发《陕西省主要乡土树种名录》的通知（陕林生发〔2022〕144 号），确定补植树种为</w:t>
            </w:r>
            <w:r>
              <w:rPr>
                <w:rFonts w:ascii="仿宋_GB2312" w:hAnsi="仿宋_GB2312" w:cs="仿宋_GB2312" w:eastAsia="仿宋_GB2312"/>
                <w:sz w:val="32"/>
              </w:rPr>
              <w:t>七叶树</w:t>
            </w:r>
            <w:r>
              <w:rPr>
                <w:rFonts w:ascii="仿宋_GB2312" w:hAnsi="仿宋_GB2312" w:cs="仿宋_GB2312" w:eastAsia="仿宋_GB2312"/>
                <w:sz w:val="32"/>
              </w:rPr>
              <w:t>。</w:t>
            </w:r>
          </w:p>
          <w:p>
            <w:pPr>
              <w:pStyle w:val="null3"/>
              <w:ind w:firstLine="640"/>
              <w:jc w:val="both"/>
            </w:pPr>
            <w:r>
              <w:rPr>
                <w:rFonts w:ascii="仿宋_GB2312" w:hAnsi="仿宋_GB2312" w:cs="仿宋_GB2312" w:eastAsia="仿宋_GB2312"/>
                <w:sz w:val="32"/>
              </w:rPr>
              <w:t>2）补植密度：</w:t>
            </w:r>
            <w:r>
              <w:rPr>
                <w:rFonts w:ascii="仿宋_GB2312" w:hAnsi="仿宋_GB2312" w:cs="仿宋_GB2312" w:eastAsia="仿宋_GB2312"/>
                <w:sz w:val="32"/>
              </w:rPr>
              <w:t>42</w:t>
            </w:r>
            <w:r>
              <w:rPr>
                <w:rFonts w:ascii="仿宋_GB2312" w:hAnsi="仿宋_GB2312" w:cs="仿宋_GB2312" w:eastAsia="仿宋_GB2312"/>
                <w:sz w:val="32"/>
              </w:rPr>
              <w:t>株</w:t>
            </w:r>
            <w:r>
              <w:rPr>
                <w:rFonts w:ascii="仿宋_GB2312" w:hAnsi="仿宋_GB2312" w:cs="仿宋_GB2312" w:eastAsia="仿宋_GB2312"/>
                <w:sz w:val="32"/>
              </w:rPr>
              <w:t>/亩</w:t>
            </w:r>
          </w:p>
          <w:p>
            <w:pPr>
              <w:pStyle w:val="null3"/>
              <w:ind w:firstLine="640"/>
              <w:jc w:val="both"/>
            </w:pPr>
            <w:r>
              <w:rPr>
                <w:rFonts w:ascii="仿宋_GB2312" w:hAnsi="仿宋_GB2312" w:cs="仿宋_GB2312" w:eastAsia="仿宋_GB2312"/>
                <w:sz w:val="32"/>
              </w:rPr>
              <w:t>3）补植方式：林窗、林间空地、林间空隙进行人工植苗补植。</w:t>
            </w:r>
          </w:p>
          <w:p>
            <w:pPr>
              <w:pStyle w:val="null3"/>
              <w:ind w:firstLine="640"/>
              <w:jc w:val="both"/>
            </w:pPr>
            <w:r>
              <w:rPr>
                <w:rFonts w:ascii="仿宋_GB2312" w:hAnsi="仿宋_GB2312" w:cs="仿宋_GB2312" w:eastAsia="仿宋_GB2312"/>
                <w:sz w:val="32"/>
              </w:rPr>
              <w:t>4）补植主要技术措施</w:t>
            </w:r>
          </w:p>
          <w:p>
            <w:pPr>
              <w:pStyle w:val="null3"/>
              <w:ind w:firstLine="640"/>
              <w:jc w:val="both"/>
            </w:pPr>
            <w:r>
              <w:rPr>
                <w:rFonts w:ascii="仿宋_GB2312" w:hAnsi="仿宋_GB2312" w:cs="仿宋_GB2312" w:eastAsia="仿宋_GB2312"/>
                <w:sz w:val="32"/>
              </w:rPr>
              <w:t>整地：采用穴状整地，规格</w:t>
            </w:r>
            <w:r>
              <w:rPr>
                <w:rFonts w:ascii="仿宋_GB2312" w:hAnsi="仿宋_GB2312" w:cs="仿宋_GB2312" w:eastAsia="仿宋_GB2312"/>
                <w:sz w:val="32"/>
              </w:rPr>
              <w:t>40×40×30 厘米。整地时先将表土堆在坑的上方，将生土堆在坑的下方，挖好后熟土回填，拣清杂根石块，再在外缘用生土围成环状高 10～20 厘米的土埂，以便于蓄水和灌水。对土层瘠薄的地块，根据实际条件进行土壤改良。</w:t>
            </w:r>
          </w:p>
          <w:p>
            <w:pPr>
              <w:pStyle w:val="null3"/>
              <w:ind w:firstLine="640"/>
              <w:jc w:val="both"/>
            </w:pPr>
            <w:r>
              <w:rPr>
                <w:rFonts w:ascii="仿宋_GB2312" w:hAnsi="仿宋_GB2312" w:cs="仿宋_GB2312" w:eastAsia="仿宋_GB2312"/>
                <w:sz w:val="32"/>
              </w:rPr>
              <w:t>栽植：补植全部采用植苗造林的方式进行。补植季节为</w:t>
            </w:r>
            <w:r>
              <w:rPr>
                <w:rFonts w:ascii="仿宋_GB2312" w:hAnsi="仿宋_GB2312" w:cs="仿宋_GB2312" w:eastAsia="仿宋_GB2312"/>
                <w:sz w:val="32"/>
              </w:rPr>
              <w:t>2025年秋季。栽植前应彻底清除土壤中的杂物，在坑底回填表土。栽植时按照《陕西省造林技术规程》的技术标准和要求进行，做到苗木端正，根系舒展，深浅适当，表土回填，分层踩实。坡面破碎、地形变化复杂的地方，种植点的位置应灵活掌握，不拘于株行距的规定，但要保持单位面积上种植点的数量。对于补植地上现有的乔木林木和幼苗幼树，施工时要全面保护，并适当抚育。</w:t>
            </w:r>
          </w:p>
          <w:p>
            <w:pPr>
              <w:pStyle w:val="null3"/>
              <w:ind w:firstLine="640"/>
              <w:jc w:val="both"/>
            </w:pPr>
            <w:r>
              <w:rPr>
                <w:rFonts w:ascii="仿宋_GB2312" w:hAnsi="仿宋_GB2312" w:cs="仿宋_GB2312" w:eastAsia="仿宋_GB2312"/>
                <w:sz w:val="32"/>
              </w:rPr>
              <w:t>5）苗木标准</w:t>
            </w:r>
          </w:p>
          <w:p>
            <w:pPr>
              <w:pStyle w:val="null3"/>
              <w:ind w:firstLine="640"/>
              <w:jc w:val="both"/>
            </w:pPr>
            <w:r>
              <w:rPr>
                <w:rFonts w:ascii="仿宋_GB2312" w:hAnsi="仿宋_GB2312" w:cs="仿宋_GB2312" w:eastAsia="仿宋_GB2312"/>
                <w:sz w:val="32"/>
              </w:rPr>
              <w:t>苗木规格：补植所用苗木全部采用由林木种苗管理部门组织供应或经其检验的具有</w:t>
            </w:r>
            <w:r>
              <w:rPr>
                <w:rFonts w:ascii="仿宋_GB2312" w:hAnsi="仿宋_GB2312" w:cs="仿宋_GB2312" w:eastAsia="仿宋_GB2312"/>
                <w:sz w:val="32"/>
              </w:rPr>
              <w:t>“两证一签”（检疫合格证、检验合格证、标签）的</w:t>
            </w:r>
            <w:r>
              <w:rPr>
                <w:rFonts w:ascii="仿宋_GB2312" w:hAnsi="仿宋_GB2312" w:cs="仿宋_GB2312" w:eastAsia="仿宋_GB2312"/>
                <w:sz w:val="28"/>
              </w:rPr>
              <w:t>I-</w:t>
            </w:r>
            <w:r>
              <w:rPr>
                <w:rFonts w:ascii="仿宋_GB2312" w:hAnsi="仿宋_GB2312" w:cs="仿宋_GB2312" w:eastAsia="仿宋_GB2312"/>
                <w:sz w:val="28"/>
              </w:rPr>
              <w:t>Ⅱ</w:t>
            </w:r>
            <w:r>
              <w:rPr>
                <w:rFonts w:ascii="仿宋_GB2312" w:hAnsi="仿宋_GB2312" w:cs="仿宋_GB2312" w:eastAsia="仿宋_GB2312"/>
                <w:sz w:val="32"/>
              </w:rPr>
              <w:t>级苗木，优先使用当地苗木。苗木检验中要严格把关，选用植株健壮、苗干通直圆满、木质化程度高、根系发达而完整、具有完整饱满的顶芽、无机械损伤、无病虫害、不失水、有旺盛生命力的优质苗木。</w:t>
            </w:r>
          </w:p>
          <w:p>
            <w:pPr>
              <w:pStyle w:val="null3"/>
              <w:jc w:val="center"/>
            </w:pPr>
            <w:r>
              <w:rPr>
                <w:rFonts w:ascii="仿宋_GB2312" w:hAnsi="仿宋_GB2312" w:cs="仿宋_GB2312" w:eastAsia="仿宋_GB2312"/>
                <w:sz w:val="32"/>
                <w:b/>
              </w:rPr>
              <w:t>苗木规格统计表</w:t>
            </w:r>
          </w:p>
          <w:tbl>
            <w:tblPr>
              <w:tblInd w:type="dxa" w:w="135"/>
              <w:tblBorders>
                <w:top w:val="none" w:color="000000" w:sz="4"/>
                <w:left w:val="none" w:color="000000" w:sz="4"/>
                <w:bottom w:val="none" w:color="000000" w:sz="4"/>
                <w:right w:val="none" w:color="000000" w:sz="4"/>
                <w:insideH w:val="none"/>
                <w:insideV w:val="none"/>
              </w:tblBorders>
            </w:tblPr>
            <w:tblGrid>
              <w:gridCol w:w="283"/>
              <w:gridCol w:w="274"/>
              <w:gridCol w:w="310"/>
              <w:gridCol w:w="205"/>
              <w:gridCol w:w="228"/>
              <w:gridCol w:w="292"/>
              <w:gridCol w:w="397"/>
              <w:gridCol w:w="552"/>
            </w:tblGrid>
            <w:tr>
              <w:tc>
                <w:tcPr>
                  <w:tcW w:type="dxa" w:w="283"/>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树</w:t>
                  </w:r>
                  <w:r>
                    <w:rPr>
                      <w:rFonts w:ascii="仿宋_GB2312" w:hAnsi="仿宋_GB2312" w:cs="仿宋_GB2312" w:eastAsia="仿宋_GB2312"/>
                      <w:sz w:val="21"/>
                    </w:rPr>
                    <w:t>种</w:t>
                  </w:r>
                </w:p>
                <w:p>
                  <w:pPr>
                    <w:pStyle w:val="null3"/>
                    <w:jc w:val="center"/>
                  </w:pPr>
                  <w:r>
                    <w:rPr>
                      <w:rFonts w:ascii="仿宋_GB2312" w:hAnsi="仿宋_GB2312" w:cs="仿宋_GB2312" w:eastAsia="仿宋_GB2312"/>
                      <w:sz w:val="21"/>
                    </w:rPr>
                    <w:t>名称</w:t>
                  </w:r>
                </w:p>
              </w:tc>
              <w:tc>
                <w:tcPr>
                  <w:tcW w:type="dxa" w:w="274"/>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苗木</w:t>
                  </w:r>
                </w:p>
                <w:p>
                  <w:pPr>
                    <w:pStyle w:val="null3"/>
                    <w:jc w:val="center"/>
                  </w:pPr>
                  <w:r>
                    <w:rPr>
                      <w:rFonts w:ascii="仿宋_GB2312" w:hAnsi="仿宋_GB2312" w:cs="仿宋_GB2312" w:eastAsia="仿宋_GB2312"/>
                      <w:sz w:val="21"/>
                    </w:rPr>
                    <w:t>种类</w:t>
                  </w:r>
                </w:p>
              </w:tc>
              <w:tc>
                <w:tcPr>
                  <w:tcW w:type="dxa" w:w="310"/>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苗龄</w:t>
                  </w:r>
                </w:p>
              </w:tc>
              <w:tc>
                <w:tcPr>
                  <w:tcW w:type="dxa" w:w="205"/>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地径（</w:t>
                  </w:r>
                  <w:r>
                    <w:rPr>
                      <w:rFonts w:ascii="仿宋_GB2312" w:hAnsi="仿宋_GB2312" w:cs="仿宋_GB2312" w:eastAsia="仿宋_GB2312"/>
                      <w:sz w:val="21"/>
                    </w:rPr>
                    <w:t>cm）＞</w:t>
                  </w:r>
                </w:p>
              </w:tc>
              <w:tc>
                <w:tcPr>
                  <w:tcW w:type="dxa" w:w="228"/>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苗高（</w:t>
                  </w:r>
                  <w:r>
                    <w:rPr>
                      <w:rFonts w:ascii="仿宋_GB2312" w:hAnsi="仿宋_GB2312" w:cs="仿宋_GB2312" w:eastAsia="仿宋_GB2312"/>
                      <w:sz w:val="21"/>
                    </w:rPr>
                    <w:t>cm）＞</w:t>
                  </w:r>
                </w:p>
              </w:tc>
              <w:tc>
                <w:tcPr>
                  <w:tcW w:type="dxa" w:w="689"/>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562"/>
                    <w:jc w:val="center"/>
                  </w:pPr>
                  <w:r>
                    <w:rPr>
                      <w:rFonts w:ascii="仿宋_GB2312" w:hAnsi="仿宋_GB2312" w:cs="仿宋_GB2312" w:eastAsia="仿宋_GB2312"/>
                      <w:sz w:val="21"/>
                    </w:rPr>
                    <w:t>根系</w:t>
                  </w:r>
                </w:p>
              </w:tc>
              <w:tc>
                <w:tcPr>
                  <w:tcW w:type="dxa" w:w="552"/>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综合控制指标</w:t>
                  </w:r>
                </w:p>
              </w:tc>
            </w:tr>
            <w:tr>
              <w:tc>
                <w:tcPr>
                  <w:tcW w:type="dxa" w:w="283"/>
                  <w:vMerge/>
                  <w:tcBorders>
                    <w:top w:val="single" w:color="000000" w:sz="4"/>
                    <w:left w:val="single" w:color="000000" w:sz="4"/>
                    <w:bottom w:val="single" w:color="000000" w:sz="4"/>
                    <w:right w:val="single" w:color="000000" w:sz="4"/>
                  </w:tcBorders>
                </w:tcPr>
                <w:p/>
              </w:tc>
              <w:tc>
                <w:tcPr>
                  <w:tcW w:type="dxa" w:w="274"/>
                  <w:vMerge/>
                  <w:tcBorders>
                    <w:top w:val="single" w:color="000000" w:sz="4"/>
                    <w:left w:val="single" w:color="000000" w:sz="4"/>
                    <w:bottom w:val="single" w:color="000000" w:sz="4"/>
                    <w:right w:val="single" w:color="000000" w:sz="4"/>
                  </w:tcBorders>
                </w:tcPr>
                <w:p/>
              </w:tc>
              <w:tc>
                <w:tcPr>
                  <w:tcW w:type="dxa" w:w="310"/>
                  <w:vMerge/>
                  <w:tcBorders>
                    <w:top w:val="single" w:color="000000" w:sz="4"/>
                    <w:left w:val="single" w:color="000000" w:sz="4"/>
                    <w:bottom w:val="single" w:color="000000" w:sz="4"/>
                    <w:right w:val="single" w:color="000000" w:sz="4"/>
                  </w:tcBorders>
                </w:tcPr>
                <w:p/>
              </w:tc>
              <w:tc>
                <w:tcPr>
                  <w:tcW w:type="dxa" w:w="205"/>
                  <w:vMerge/>
                  <w:tcBorders>
                    <w:top w:val="single" w:color="000000" w:sz="4"/>
                    <w:left w:val="single" w:color="000000" w:sz="4"/>
                    <w:bottom w:val="single" w:color="000000" w:sz="4"/>
                    <w:right w:val="single" w:color="000000" w:sz="4"/>
                  </w:tcBorders>
                </w:tcPr>
                <w:p/>
              </w:tc>
              <w:tc>
                <w:tcPr>
                  <w:tcW w:type="dxa" w:w="228"/>
                  <w:vMerge/>
                  <w:tcBorders>
                    <w:top w:val="single" w:color="000000" w:sz="4"/>
                    <w:left w:val="single" w:color="000000" w:sz="4"/>
                    <w:bottom w:val="single" w:color="000000" w:sz="4"/>
                    <w:right w:val="single" w:color="000000" w:sz="4"/>
                  </w:tcBorders>
                </w:tcPr>
                <w:p/>
              </w:tc>
              <w:tc>
                <w:tcPr>
                  <w:tcW w:type="dxa" w:w="2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长度</w:t>
                  </w:r>
                  <w:r>
                    <w:rPr>
                      <w:rFonts w:ascii="仿宋_GB2312" w:hAnsi="仿宋_GB2312" w:cs="仿宋_GB2312" w:eastAsia="仿宋_GB2312"/>
                      <w:sz w:val="21"/>
                    </w:rPr>
                    <w:t>cm＞</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5cm长Ⅰ级侧根数</w:t>
                  </w:r>
                </w:p>
              </w:tc>
              <w:tc>
                <w:tcPr>
                  <w:tcW w:type="dxa" w:w="552"/>
                  <w:vMerge/>
                  <w:tcBorders>
                    <w:top w:val="single" w:color="000000" w:sz="4"/>
                    <w:left w:val="single" w:color="000000" w:sz="4"/>
                    <w:bottom w:val="single" w:color="000000" w:sz="4"/>
                    <w:right w:val="single" w:color="000000" w:sz="4"/>
                  </w:tcBorders>
                </w:tcPr>
                <w:p/>
              </w:tc>
            </w:tr>
            <w:tr>
              <w:tc>
                <w:tcPr>
                  <w:tcW w:type="dxa" w:w="2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七叶树</w:t>
                  </w:r>
                </w:p>
              </w:tc>
              <w:tc>
                <w:tcPr>
                  <w:tcW w:type="dxa" w:w="2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播种苗</w:t>
                  </w:r>
                </w:p>
              </w:tc>
              <w:tc>
                <w:tcPr>
                  <w:tcW w:type="dxa" w:w="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0.</w:t>
                  </w:r>
                  <w:r>
                    <w:rPr>
                      <w:rFonts w:ascii="仿宋_GB2312" w:hAnsi="仿宋_GB2312" w:cs="仿宋_GB2312" w:eastAsia="仿宋_GB2312"/>
                      <w:sz w:val="21"/>
                    </w:rPr>
                    <w:t>8</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30</w:t>
                  </w:r>
                </w:p>
              </w:tc>
              <w:tc>
                <w:tcPr>
                  <w:tcW w:type="dxa" w:w="2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30</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w:t>
                  </w:r>
                </w:p>
              </w:tc>
              <w:tc>
                <w:tcPr>
                  <w:tcW w:type="dxa" w:w="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充分木质化</w:t>
                  </w:r>
                </w:p>
              </w:tc>
            </w:tr>
          </w:tbl>
          <w:p>
            <w:pPr>
              <w:pStyle w:val="null3"/>
              <w:ind w:firstLine="640"/>
              <w:jc w:val="both"/>
            </w:pPr>
            <w:r>
              <w:rPr>
                <w:rFonts w:ascii="仿宋_GB2312" w:hAnsi="仿宋_GB2312" w:cs="仿宋_GB2312" w:eastAsia="仿宋_GB2312"/>
                <w:sz w:val="32"/>
              </w:rPr>
              <w:t>6）苗木运输：在苗木起苗、分级、包装、运输、栽植过程中，防止苗木失水和顶芽受损；运输容器苗时，应注意根系与容器内的土壤保持密实，防止松散。</w:t>
            </w:r>
          </w:p>
          <w:p>
            <w:pPr>
              <w:pStyle w:val="null3"/>
              <w:ind w:firstLine="640"/>
              <w:jc w:val="both"/>
            </w:pPr>
            <w:r>
              <w:rPr>
                <w:rFonts w:ascii="仿宋_GB2312" w:hAnsi="仿宋_GB2312" w:cs="仿宋_GB2312" w:eastAsia="仿宋_GB2312"/>
                <w:sz w:val="32"/>
              </w:rPr>
              <w:t>7）苗木检验：苗木进场前，施工方、监理方和建设方需对苗木品种、规格、健康状况、病虫害等方面进行检验，检验合格后经三方签字后苗木方可进场栽植。</w:t>
            </w:r>
          </w:p>
          <w:p>
            <w:pPr>
              <w:pStyle w:val="null3"/>
              <w:ind w:firstLine="640"/>
              <w:jc w:val="both"/>
            </w:pPr>
            <w:r>
              <w:rPr>
                <w:rFonts w:ascii="仿宋_GB2312" w:hAnsi="仿宋_GB2312" w:cs="仿宋_GB2312" w:eastAsia="仿宋_GB2312"/>
                <w:sz w:val="32"/>
              </w:rPr>
              <w:t>8）蓄水保墒措施：覆土后，用秸秆、杂草等当地自然地表覆盖材料平铺在坑穴表面，可有效减少蒸腾作用。</w:t>
            </w:r>
          </w:p>
          <w:p>
            <w:pPr>
              <w:pStyle w:val="null3"/>
              <w:ind w:firstLine="640"/>
              <w:jc w:val="both"/>
            </w:pPr>
            <w:r>
              <w:rPr>
                <w:rFonts w:ascii="仿宋_GB2312" w:hAnsi="仿宋_GB2312" w:cs="仿宋_GB2312" w:eastAsia="仿宋_GB2312"/>
                <w:sz w:val="32"/>
              </w:rPr>
              <w:t>9）成活率调查：成活率调查一般在新造幼苗经过一年或一个完整的生长季后进行。以小班为评价单元，统计成活与死亡株数，调查结果分三级统计。成活率在 85%（含）以上，保存率在 80%（含）以上，为合格小班。</w:t>
            </w:r>
          </w:p>
          <w:p>
            <w:pPr>
              <w:pStyle w:val="null3"/>
              <w:ind w:firstLine="640"/>
              <w:jc w:val="both"/>
            </w:pPr>
            <w:r>
              <w:rPr>
                <w:rFonts w:ascii="仿宋_GB2312" w:hAnsi="仿宋_GB2312" w:cs="仿宋_GB2312" w:eastAsia="仿宋_GB2312"/>
                <w:sz w:val="32"/>
              </w:rPr>
              <w:t>⑤割灌-割藤：对于灌木、藤本高度超过目的幼树幼苗并对其生长造成严重影响的小班，进行割灌。割灌-割藤时以目标幼树为中心，割除其周围 1.5m 范围内影响目的树种幼苗幼树生长的杂灌和藤本植物，进行局部割灌，避免全面割灌。割灌-割藤时贴近地面切割，留茬高度不宜超过 5cm，施工作业时注重保护珍稀濒危树木、林窗处的幼树幼苗及林下有生长潜力的幼树幼苗，稀疏地段适度保留灌木。</w:t>
            </w:r>
          </w:p>
          <w:p>
            <w:pPr>
              <w:pStyle w:val="null3"/>
              <w:ind w:firstLine="640"/>
              <w:jc w:val="both"/>
            </w:pPr>
            <w:r>
              <w:rPr>
                <w:rFonts w:ascii="仿宋_GB2312" w:hAnsi="仿宋_GB2312" w:cs="仿宋_GB2312" w:eastAsia="仿宋_GB2312"/>
                <w:sz w:val="32"/>
              </w:rPr>
              <w:t>⑥剩余物处理与林地清理：森林抚育作业完成后，小班作业完成后，对未发生松材线虫病害的林木，将采伐剩余物短截沿等高线就地散铺；对发生松材线虫等检疫对象病害的林木，采伐的疫木必须在作业区内集中烧毁，按照当日采伐当日就地处置的要求进行，疫木烧毁处理前应当向防火部门报备，做好各项防火准备工作，就地选择合适场地，清理焚烧场地可燃物，对疫木及直径1厘米以上的疫木枝桠、碎片、树皮等进行全部清理，集中烧毁，在疫木烧毁完毕后务必确认无火灾隐患，疫木伐除后，在伐桩上放置磷化铝片1-2粒，用塑料薄膜覆盖并压实。疫木的木桩必须采取套袋封装，避免出现疫木树桩无遮挡的现象。</w:t>
            </w:r>
          </w:p>
          <w:p>
            <w:pPr>
              <w:pStyle w:val="null3"/>
              <w:jc w:val="both"/>
              <w:outlineLvl w:val="1"/>
            </w:pPr>
            <w:r>
              <w:rPr>
                <w:rFonts w:ascii="仿宋_GB2312" w:hAnsi="仿宋_GB2312" w:cs="仿宋_GB2312" w:eastAsia="仿宋_GB2312"/>
                <w:sz w:val="32"/>
                <w:b/>
              </w:rPr>
              <w:t>3森林抚育施工</w:t>
            </w:r>
          </w:p>
          <w:p>
            <w:pPr>
              <w:pStyle w:val="null3"/>
              <w:ind w:firstLine="640"/>
              <w:jc w:val="both"/>
            </w:pPr>
            <w:r>
              <w:rPr>
                <w:rFonts w:ascii="仿宋_GB2312" w:hAnsi="仿宋_GB2312" w:cs="仿宋_GB2312" w:eastAsia="仿宋_GB2312"/>
                <w:sz w:val="32"/>
              </w:rPr>
              <w:t>森林抚育施工应有专业的施工单位或者具有类似经验人员来完成。</w:t>
            </w:r>
          </w:p>
          <w:p>
            <w:pPr>
              <w:pStyle w:val="null3"/>
              <w:jc w:val="both"/>
              <w:outlineLvl w:val="1"/>
            </w:pPr>
            <w:r>
              <w:rPr>
                <w:rFonts w:ascii="仿宋_GB2312" w:hAnsi="仿宋_GB2312" w:cs="仿宋_GB2312" w:eastAsia="仿宋_GB2312"/>
                <w:sz w:val="32"/>
                <w:b/>
              </w:rPr>
              <w:t>4用工量</w:t>
            </w:r>
          </w:p>
          <w:p>
            <w:pPr>
              <w:pStyle w:val="null3"/>
              <w:ind w:firstLine="640"/>
              <w:jc w:val="both"/>
            </w:pPr>
            <w:r>
              <w:rPr>
                <w:rFonts w:ascii="仿宋_GB2312" w:hAnsi="仿宋_GB2312" w:cs="仿宋_GB2312" w:eastAsia="仿宋_GB2312"/>
                <w:sz w:val="32"/>
              </w:rPr>
              <w:t>经测算</w:t>
            </w:r>
            <w:r>
              <w:rPr>
                <w:rFonts w:ascii="仿宋_GB2312" w:hAnsi="仿宋_GB2312" w:cs="仿宋_GB2312" w:eastAsia="仿宋_GB2312"/>
                <w:sz w:val="32"/>
              </w:rPr>
              <w:t>，</w:t>
            </w:r>
            <w:r>
              <w:rPr>
                <w:rFonts w:ascii="仿宋_GB2312" w:hAnsi="仿宋_GB2312" w:cs="仿宋_GB2312" w:eastAsia="仿宋_GB2312"/>
                <w:sz w:val="32"/>
              </w:rPr>
              <w:t>根据</w:t>
            </w:r>
            <w:r>
              <w:rPr>
                <w:rFonts w:ascii="仿宋_GB2312" w:hAnsi="仿宋_GB2312" w:cs="仿宋_GB2312" w:eastAsia="仿宋_GB2312"/>
                <w:sz w:val="32"/>
              </w:rPr>
              <w:t>本次森林抚育作业区地形地貌及林分生长情况，</w:t>
            </w:r>
            <w:r>
              <w:rPr>
                <w:rFonts w:ascii="仿宋_GB2312" w:hAnsi="仿宋_GB2312" w:cs="仿宋_GB2312" w:eastAsia="仿宋_GB2312"/>
                <w:sz w:val="32"/>
              </w:rPr>
              <w:t>确定森林抚育用工指标为：</w:t>
            </w:r>
            <w:r>
              <w:rPr>
                <w:rFonts w:ascii="仿宋_GB2312" w:hAnsi="仿宋_GB2312" w:cs="仿宋_GB2312" w:eastAsia="仿宋_GB2312"/>
                <w:sz w:val="32"/>
              </w:rPr>
              <w:t>疏伐</w:t>
            </w:r>
            <w:r>
              <w:rPr>
                <w:rFonts w:ascii="仿宋_GB2312" w:hAnsi="仿宋_GB2312" w:cs="仿宋_GB2312" w:eastAsia="仿宋_GB2312"/>
                <w:sz w:val="32"/>
              </w:rPr>
              <w:t>1.5个工日/立方米、割灌藤1.2个工日/亩、补植综合用工5</w:t>
            </w:r>
            <w:r>
              <w:rPr>
                <w:rFonts w:ascii="仿宋_GB2312" w:hAnsi="仿宋_GB2312" w:cs="仿宋_GB2312" w:eastAsia="仿宋_GB2312"/>
                <w:sz w:val="32"/>
              </w:rPr>
              <w:t>个工日</w:t>
            </w:r>
            <w:r>
              <w:rPr>
                <w:rFonts w:ascii="仿宋_GB2312" w:hAnsi="仿宋_GB2312" w:cs="仿宋_GB2312" w:eastAsia="仿宋_GB2312"/>
                <w:sz w:val="32"/>
              </w:rPr>
              <w:t>/亩</w:t>
            </w:r>
            <w:r>
              <w:rPr>
                <w:rFonts w:ascii="仿宋_GB2312" w:hAnsi="仿宋_GB2312" w:cs="仿宋_GB2312" w:eastAsia="仿宋_GB2312"/>
                <w:sz w:val="32"/>
              </w:rPr>
              <w:t>。</w:t>
            </w:r>
          </w:p>
          <w:p>
            <w:pPr>
              <w:pStyle w:val="null3"/>
              <w:ind w:firstLine="640"/>
              <w:jc w:val="both"/>
            </w:pPr>
            <w:r>
              <w:rPr>
                <w:rFonts w:ascii="仿宋_GB2312" w:hAnsi="仿宋_GB2312" w:cs="仿宋_GB2312" w:eastAsia="仿宋_GB2312"/>
              </w:rPr>
              <w:t xml:space="preserve"> </w:t>
            </w:r>
          </w:p>
          <w:p>
            <w:pPr>
              <w:pStyle w:val="null3"/>
              <w:jc w:val="both"/>
              <w:outlineLvl w:val="1"/>
            </w:pPr>
            <w:r>
              <w:rPr>
                <w:rFonts w:ascii="仿宋_GB2312" w:hAnsi="仿宋_GB2312" w:cs="仿宋_GB2312" w:eastAsia="仿宋_GB2312"/>
                <w:sz w:val="32"/>
                <w:b/>
              </w:rPr>
              <w:t>5苗木需要量及来源</w:t>
            </w:r>
          </w:p>
          <w:p>
            <w:pPr>
              <w:pStyle w:val="null3"/>
              <w:ind w:firstLine="640"/>
              <w:jc w:val="both"/>
            </w:pPr>
            <w:r>
              <w:rPr>
                <w:rFonts w:ascii="仿宋_GB2312" w:hAnsi="仿宋_GB2312" w:cs="仿宋_GB2312" w:eastAsia="仿宋_GB2312"/>
                <w:sz w:val="32"/>
              </w:rPr>
              <w:t>经测算，项目需苗木总量</w:t>
            </w:r>
            <w:r>
              <w:rPr>
                <w:rFonts w:ascii="仿宋_GB2312" w:hAnsi="仿宋_GB2312" w:cs="仿宋_GB2312" w:eastAsia="仿宋_GB2312"/>
                <w:sz w:val="32"/>
              </w:rPr>
              <w:t>2688</w:t>
            </w:r>
            <w:r>
              <w:rPr>
                <w:rFonts w:ascii="仿宋_GB2312" w:hAnsi="仿宋_GB2312" w:cs="仿宋_GB2312" w:eastAsia="仿宋_GB2312"/>
                <w:sz w:val="32"/>
              </w:rPr>
              <w:t>株。</w:t>
            </w:r>
          </w:p>
          <w:p>
            <w:pPr>
              <w:pStyle w:val="null3"/>
              <w:ind w:firstLine="640"/>
              <w:jc w:val="both"/>
            </w:pPr>
            <w:r>
              <w:rPr>
                <w:rFonts w:ascii="仿宋_GB2312" w:hAnsi="仿宋_GB2312" w:cs="仿宋_GB2312" w:eastAsia="仿宋_GB2312"/>
                <w:sz w:val="32"/>
              </w:rPr>
              <w:t>优先采用</w:t>
            </w:r>
            <w:r>
              <w:rPr>
                <w:rFonts w:ascii="仿宋_GB2312" w:hAnsi="仿宋_GB2312" w:cs="仿宋_GB2312" w:eastAsia="仿宋_GB2312"/>
                <w:sz w:val="32"/>
              </w:rPr>
              <w:t>本</w:t>
            </w:r>
            <w:r>
              <w:rPr>
                <w:rFonts w:ascii="仿宋_GB2312" w:hAnsi="仿宋_GB2312" w:cs="仿宋_GB2312" w:eastAsia="仿宋_GB2312"/>
                <w:sz w:val="32"/>
              </w:rPr>
              <w:t>县现有国营、集体、个体苗圃苗木，不足部分从邻近地方购买。购买苗木应严格执行</w:t>
            </w:r>
            <w:r>
              <w:rPr>
                <w:rFonts w:ascii="仿宋_GB2312" w:hAnsi="仿宋_GB2312" w:cs="仿宋_GB2312" w:eastAsia="仿宋_GB2312"/>
                <w:sz w:val="32"/>
              </w:rPr>
              <w:t>“两证一签”制度，严格审查补植苗木的“植物检疫合格证”、“苗木质量检验合格证”和苗木标签。所有补植工程一律使用壮苗，严禁弱苗、病苗上山。</w:t>
            </w:r>
          </w:p>
          <w:p>
            <w:pPr>
              <w:pStyle w:val="null3"/>
              <w:jc w:val="both"/>
              <w:outlineLvl w:val="1"/>
            </w:pPr>
            <w:r>
              <w:rPr>
                <w:rFonts w:ascii="仿宋_GB2312" w:hAnsi="仿宋_GB2312" w:cs="仿宋_GB2312" w:eastAsia="仿宋_GB2312"/>
                <w:sz w:val="32"/>
                <w:b/>
              </w:rPr>
              <w:t>6宣传标识</w:t>
            </w:r>
          </w:p>
          <w:p>
            <w:pPr>
              <w:pStyle w:val="null3"/>
              <w:ind w:firstLine="640"/>
              <w:jc w:val="both"/>
            </w:pPr>
            <w:r>
              <w:rPr>
                <w:rFonts w:ascii="仿宋_GB2312" w:hAnsi="仿宋_GB2312" w:cs="仿宋_GB2312" w:eastAsia="仿宋_GB2312"/>
                <w:sz w:val="32"/>
              </w:rPr>
              <w:t>在作业区面积相对集中、交通便利、具有典型代表性的作业区周边，设置宣传牌</w:t>
            </w:r>
            <w:r>
              <w:rPr>
                <w:rFonts w:ascii="仿宋_GB2312" w:hAnsi="仿宋_GB2312" w:cs="仿宋_GB2312" w:eastAsia="仿宋_GB2312"/>
                <w:sz w:val="32"/>
              </w:rPr>
              <w:t>1块。宣传牌规格为</w:t>
            </w:r>
            <w:r>
              <w:rPr>
                <w:rFonts w:ascii="仿宋_GB2312" w:hAnsi="仿宋_GB2312" w:cs="仿宋_GB2312" w:eastAsia="仿宋_GB2312"/>
                <w:sz w:val="28"/>
              </w:rPr>
              <w:t>120</w:t>
            </w:r>
            <w:r>
              <w:rPr>
                <w:rFonts w:ascii="仿宋_GB2312" w:hAnsi="仿宋_GB2312" w:cs="仿宋_GB2312" w:eastAsia="仿宋_GB2312"/>
                <w:sz w:val="28"/>
              </w:rPr>
              <w:t>（高）</w:t>
            </w:r>
            <w:r>
              <w:rPr>
                <w:rFonts w:ascii="仿宋_GB2312" w:hAnsi="仿宋_GB2312" w:cs="仿宋_GB2312" w:eastAsia="仿宋_GB2312"/>
                <w:sz w:val="28"/>
              </w:rPr>
              <w:t>×</w:t>
            </w:r>
            <w:r>
              <w:rPr>
                <w:rFonts w:ascii="仿宋_GB2312" w:hAnsi="仿宋_GB2312" w:cs="仿宋_GB2312" w:eastAsia="仿宋_GB2312"/>
                <w:sz w:val="28"/>
              </w:rPr>
              <w:t>200</w:t>
            </w:r>
            <w:r>
              <w:rPr>
                <w:rFonts w:ascii="仿宋_GB2312" w:hAnsi="仿宋_GB2312" w:cs="仿宋_GB2312" w:eastAsia="仿宋_GB2312"/>
                <w:sz w:val="28"/>
              </w:rPr>
              <w:t>（长）</w:t>
            </w:r>
            <w:r>
              <w:rPr>
                <w:rFonts w:ascii="仿宋_GB2312" w:hAnsi="仿宋_GB2312" w:cs="仿宋_GB2312" w:eastAsia="仿宋_GB2312"/>
                <w:sz w:val="28"/>
              </w:rPr>
              <w:t>cm</w:t>
            </w:r>
            <w:r>
              <w:rPr>
                <w:rFonts w:ascii="仿宋_GB2312" w:hAnsi="仿宋_GB2312" w:cs="仿宋_GB2312" w:eastAsia="仿宋_GB2312"/>
                <w:sz w:val="32"/>
              </w:rPr>
              <w:t>热镀锌钢架</w:t>
            </w:r>
            <w:r>
              <w:rPr>
                <w:rFonts w:ascii="仿宋_GB2312" w:hAnsi="仿宋_GB2312" w:cs="仿宋_GB2312" w:eastAsia="仿宋_GB2312"/>
                <w:sz w:val="32"/>
              </w:rPr>
              <w:t>+5</w:t>
            </w:r>
            <w:r>
              <w:rPr>
                <w:rFonts w:ascii="仿宋_GB2312" w:hAnsi="仿宋_GB2312" w:cs="仿宋_GB2312" w:eastAsia="仿宋_GB2312"/>
                <w:sz w:val="32"/>
              </w:rPr>
              <w:t>50加厚布喷绘</w:t>
            </w:r>
            <w:r>
              <w:rPr>
                <w:rFonts w:ascii="仿宋_GB2312" w:hAnsi="仿宋_GB2312" w:cs="仿宋_GB2312" w:eastAsia="仿宋_GB2312"/>
                <w:sz w:val="32"/>
              </w:rPr>
              <w:t>。宣传牌正面应标明建设项目名称、建设地点、建设规模、抚育方式、抚育方法、建设期限、建设单位、施工单位、项目负责人、设计单位及监理单位等内容，背面内容为项目概况。</w:t>
            </w:r>
          </w:p>
          <w:p>
            <w:pPr>
              <w:pStyle w:val="null3"/>
              <w:ind w:firstLine="643"/>
              <w:jc w:val="center"/>
            </w:pPr>
            <w:r>
              <w:rPr>
                <w:rFonts w:ascii="仿宋_GB2312" w:hAnsi="仿宋_GB2312" w:cs="仿宋_GB2312" w:eastAsia="仿宋_GB2312"/>
                <w:sz w:val="32"/>
                <w:b/>
              </w:rPr>
              <w:t>宣传牌样式示例</w:t>
            </w:r>
          </w:p>
          <w:p>
            <w:pPr>
              <w:pStyle w:val="null3"/>
              <w:ind w:firstLine="643"/>
              <w:jc w:val="center"/>
            </w:pPr>
            <w:r>
              <w:rPr>
                <w:rFonts w:ascii="仿宋_GB2312" w:hAnsi="仿宋_GB2312" w:cs="仿宋_GB2312" w:eastAsia="仿宋_GB2312"/>
                <w:sz w:val="32"/>
                <w:b/>
              </w:rPr>
              <w:t>正面</w:t>
            </w:r>
          </w:p>
          <w:tbl>
            <w:tblPr>
              <w:tblInd w:type="dxa" w:w="135"/>
              <w:tblBorders>
                <w:top w:val="none" w:color="000000" w:sz="4"/>
                <w:left w:val="none" w:color="000000" w:sz="4"/>
                <w:bottom w:val="none" w:color="000000" w:sz="4"/>
                <w:right w:val="none" w:color="000000" w:sz="4"/>
                <w:insideH w:val="none"/>
                <w:insideV w:val="none"/>
              </w:tblBorders>
            </w:tblPr>
            <w:tblGrid>
              <w:gridCol w:w="2553"/>
            </w:tblGrid>
            <w:tr>
              <w:tc>
                <w:tcPr>
                  <w:tcW w:type="dxa" w:w="25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firstLine="320"/>
                    <w:jc w:val="center"/>
                  </w:pPr>
                  <w:r>
                    <w:rPr>
                      <w:rFonts w:ascii="仿宋_GB2312" w:hAnsi="仿宋_GB2312" w:cs="仿宋_GB2312" w:eastAsia="仿宋_GB2312"/>
                      <w:sz w:val="32"/>
                    </w:rPr>
                    <w:t>汉中市略阳县</w:t>
                  </w:r>
                  <w:r>
                    <w:rPr>
                      <w:rFonts w:ascii="仿宋_GB2312" w:hAnsi="仿宋_GB2312" w:cs="仿宋_GB2312" w:eastAsia="仿宋_GB2312"/>
                      <w:sz w:val="32"/>
                    </w:rPr>
                    <w:t>2025年</w:t>
                  </w:r>
                  <w:r>
                    <w:rPr>
                      <w:rFonts w:ascii="仿宋_GB2312" w:hAnsi="仿宋_GB2312" w:cs="仿宋_GB2312" w:eastAsia="仿宋_GB2312"/>
                      <w:sz w:val="32"/>
                    </w:rPr>
                    <w:t>第二批</w:t>
                  </w:r>
                  <w:r>
                    <w:rPr>
                      <w:rFonts w:ascii="仿宋_GB2312" w:hAnsi="仿宋_GB2312" w:cs="仿宋_GB2312" w:eastAsia="仿宋_GB2312"/>
                      <w:sz w:val="32"/>
                    </w:rPr>
                    <w:t>中央财政森林修复项目</w:t>
                  </w:r>
                </w:p>
                <w:p>
                  <w:pPr>
                    <w:pStyle w:val="null3"/>
                    <w:ind w:left="420" w:firstLine="560"/>
                    <w:jc w:val="both"/>
                  </w:pPr>
                  <w:r>
                    <w:rPr>
                      <w:rFonts w:ascii="仿宋_GB2312" w:hAnsi="仿宋_GB2312" w:cs="仿宋_GB2312" w:eastAsia="仿宋_GB2312"/>
                      <w:sz w:val="28"/>
                    </w:rPr>
                    <w:t>建设地点：</w:t>
                  </w:r>
                  <w:r>
                    <w:rPr>
                      <w:rFonts w:ascii="仿宋_GB2312" w:hAnsi="仿宋_GB2312" w:cs="仿宋_GB2312" w:eastAsia="仿宋_GB2312"/>
                      <w:sz w:val="28"/>
                    </w:rPr>
                    <w:t>××作业区</w:t>
                  </w:r>
                </w:p>
                <w:p>
                  <w:pPr>
                    <w:pStyle w:val="null3"/>
                    <w:ind w:left="420" w:firstLine="560"/>
                    <w:jc w:val="both"/>
                  </w:pPr>
                  <w:r>
                    <w:rPr>
                      <w:rFonts w:ascii="仿宋_GB2312" w:hAnsi="仿宋_GB2312" w:cs="仿宋_GB2312" w:eastAsia="仿宋_GB2312"/>
                      <w:sz w:val="28"/>
                    </w:rPr>
                    <w:t>建设规模：</w:t>
                  </w:r>
                  <w:r>
                    <w:rPr>
                      <w:rFonts w:ascii="仿宋_GB2312" w:hAnsi="仿宋_GB2312" w:cs="仿宋_GB2312" w:eastAsia="仿宋_GB2312"/>
                      <w:sz w:val="28"/>
                    </w:rPr>
                    <w:t>××亩</w:t>
                  </w:r>
                </w:p>
                <w:p>
                  <w:pPr>
                    <w:pStyle w:val="null3"/>
                    <w:ind w:left="420" w:firstLine="560"/>
                    <w:jc w:val="both"/>
                  </w:pPr>
                  <w:r>
                    <w:rPr>
                      <w:rFonts w:ascii="仿宋_GB2312" w:hAnsi="仿宋_GB2312" w:cs="仿宋_GB2312" w:eastAsia="仿宋_GB2312"/>
                      <w:sz w:val="28"/>
                    </w:rPr>
                    <w:t>抚育方式：</w:t>
                  </w:r>
                  <w:r>
                    <w:rPr>
                      <w:rFonts w:ascii="仿宋_GB2312" w:hAnsi="仿宋_GB2312" w:cs="仿宋_GB2312" w:eastAsia="仿宋_GB2312"/>
                      <w:sz w:val="28"/>
                    </w:rPr>
                    <w:t>××</w:t>
                  </w:r>
                </w:p>
                <w:p>
                  <w:pPr>
                    <w:pStyle w:val="null3"/>
                    <w:ind w:left="420" w:firstLine="560"/>
                    <w:jc w:val="both"/>
                  </w:pPr>
                  <w:r>
                    <w:rPr>
                      <w:rFonts w:ascii="仿宋_GB2312" w:hAnsi="仿宋_GB2312" w:cs="仿宋_GB2312" w:eastAsia="仿宋_GB2312"/>
                      <w:sz w:val="28"/>
                    </w:rPr>
                    <w:t>抚育方法：</w:t>
                  </w:r>
                  <w:r>
                    <w:rPr>
                      <w:rFonts w:ascii="仿宋_GB2312" w:hAnsi="仿宋_GB2312" w:cs="仿宋_GB2312" w:eastAsia="仿宋_GB2312"/>
                      <w:sz w:val="28"/>
                    </w:rPr>
                    <w:t>××</w:t>
                  </w:r>
                </w:p>
                <w:p>
                  <w:pPr>
                    <w:pStyle w:val="null3"/>
                    <w:ind w:left="420" w:firstLine="560"/>
                    <w:jc w:val="both"/>
                  </w:pPr>
                  <w:r>
                    <w:rPr>
                      <w:rFonts w:ascii="仿宋_GB2312" w:hAnsi="仿宋_GB2312" w:cs="仿宋_GB2312" w:eastAsia="仿宋_GB2312"/>
                      <w:sz w:val="28"/>
                    </w:rPr>
                    <w:t>建设期限：</w:t>
                  </w:r>
                  <w:r>
                    <w:rPr>
                      <w:rFonts w:ascii="仿宋_GB2312" w:hAnsi="仿宋_GB2312" w:cs="仿宋_GB2312" w:eastAsia="仿宋_GB2312"/>
                      <w:sz w:val="28"/>
                    </w:rPr>
                    <w:t>2025 年 7月-12 月</w:t>
                  </w:r>
                </w:p>
                <w:p>
                  <w:pPr>
                    <w:pStyle w:val="null3"/>
                    <w:ind w:left="420" w:firstLine="560"/>
                    <w:jc w:val="both"/>
                  </w:pPr>
                  <w:r>
                    <w:rPr>
                      <w:rFonts w:ascii="仿宋_GB2312" w:hAnsi="仿宋_GB2312" w:cs="仿宋_GB2312" w:eastAsia="仿宋_GB2312"/>
                      <w:sz w:val="28"/>
                    </w:rPr>
                    <w:t>建设单位：</w:t>
                  </w:r>
                  <w:r>
                    <w:rPr>
                      <w:rFonts w:ascii="仿宋_GB2312" w:hAnsi="仿宋_GB2312" w:cs="仿宋_GB2312" w:eastAsia="仿宋_GB2312"/>
                      <w:sz w:val="28"/>
                    </w:rPr>
                    <w:t>××××××</w:t>
                  </w:r>
                </w:p>
                <w:p>
                  <w:pPr>
                    <w:pStyle w:val="null3"/>
                    <w:ind w:left="420" w:firstLine="560"/>
                    <w:jc w:val="both"/>
                  </w:pPr>
                  <w:r>
                    <w:rPr>
                      <w:rFonts w:ascii="仿宋_GB2312" w:hAnsi="仿宋_GB2312" w:cs="仿宋_GB2312" w:eastAsia="仿宋_GB2312"/>
                      <w:sz w:val="28"/>
                    </w:rPr>
                    <w:t>施工单位：</w:t>
                  </w:r>
                  <w:r>
                    <w:rPr>
                      <w:rFonts w:ascii="仿宋_GB2312" w:hAnsi="仿宋_GB2312" w:cs="仿宋_GB2312" w:eastAsia="仿宋_GB2312"/>
                      <w:sz w:val="28"/>
                    </w:rPr>
                    <w:t>××××××</w:t>
                  </w:r>
                </w:p>
                <w:p>
                  <w:pPr>
                    <w:pStyle w:val="null3"/>
                    <w:ind w:left="420" w:firstLine="560"/>
                    <w:jc w:val="both"/>
                  </w:pPr>
                  <w:r>
                    <w:rPr>
                      <w:rFonts w:ascii="仿宋_GB2312" w:hAnsi="仿宋_GB2312" w:cs="仿宋_GB2312" w:eastAsia="仿宋_GB2312"/>
                      <w:sz w:val="28"/>
                    </w:rPr>
                    <w:t>项目负责：</w:t>
                  </w:r>
                  <w:r>
                    <w:rPr>
                      <w:rFonts w:ascii="仿宋_GB2312" w:hAnsi="仿宋_GB2312" w:cs="仿宋_GB2312" w:eastAsia="仿宋_GB2312"/>
                      <w:sz w:val="28"/>
                    </w:rPr>
                    <w:t>××××</w:t>
                  </w:r>
                </w:p>
                <w:p>
                  <w:pPr>
                    <w:pStyle w:val="null3"/>
                    <w:ind w:left="420" w:firstLine="560"/>
                    <w:jc w:val="both"/>
                  </w:pPr>
                  <w:r>
                    <w:rPr>
                      <w:rFonts w:ascii="仿宋_GB2312" w:hAnsi="仿宋_GB2312" w:cs="仿宋_GB2312" w:eastAsia="仿宋_GB2312"/>
                      <w:sz w:val="28"/>
                    </w:rPr>
                    <w:t>设计单位：</w:t>
                  </w:r>
                  <w:r>
                    <w:rPr>
                      <w:rFonts w:ascii="仿宋_GB2312" w:hAnsi="仿宋_GB2312" w:cs="仿宋_GB2312" w:eastAsia="仿宋_GB2312"/>
                      <w:sz w:val="28"/>
                    </w:rPr>
                    <w:t>××××</w:t>
                  </w:r>
                </w:p>
                <w:p>
                  <w:pPr>
                    <w:pStyle w:val="null3"/>
                    <w:ind w:left="420" w:firstLine="560"/>
                    <w:jc w:val="both"/>
                  </w:pPr>
                  <w:r>
                    <w:rPr>
                      <w:rFonts w:ascii="仿宋_GB2312" w:hAnsi="仿宋_GB2312" w:cs="仿宋_GB2312" w:eastAsia="仿宋_GB2312"/>
                      <w:sz w:val="28"/>
                    </w:rPr>
                    <w:t>监理单位：</w:t>
                  </w:r>
                  <w:r>
                    <w:rPr>
                      <w:rFonts w:ascii="仿宋_GB2312" w:hAnsi="仿宋_GB2312" w:cs="仿宋_GB2312" w:eastAsia="仿宋_GB2312"/>
                      <w:sz w:val="28"/>
                    </w:rPr>
                    <w:t>××××</w:t>
                  </w:r>
                </w:p>
                <w:p>
                  <w:pPr>
                    <w:pStyle w:val="null3"/>
                    <w:ind w:firstLine="5600"/>
                    <w:jc w:val="both"/>
                  </w:pPr>
                  <w:r>
                    <w:rPr>
                      <w:rFonts w:ascii="仿宋_GB2312" w:hAnsi="仿宋_GB2312" w:cs="仿宋_GB2312" w:eastAsia="仿宋_GB2312"/>
                      <w:sz w:val="28"/>
                    </w:rPr>
                    <w:t>略阳县国有铁厂坝林场</w:t>
                  </w:r>
                </w:p>
                <w:p>
                  <w:pPr>
                    <w:pStyle w:val="null3"/>
                    <w:ind w:left="420" w:firstLine="5880"/>
                    <w:jc w:val="both"/>
                  </w:pPr>
                  <w:r>
                    <w:rPr>
                      <w:rFonts w:ascii="仿宋_GB2312" w:hAnsi="仿宋_GB2312" w:cs="仿宋_GB2312" w:eastAsia="仿宋_GB2312"/>
                      <w:sz w:val="28"/>
                    </w:rPr>
                    <w:t>2025 年××月</w:t>
                  </w:r>
                </w:p>
              </w:tc>
            </w:tr>
          </w:tbl>
          <w:p>
            <w:pPr>
              <w:pStyle w:val="null3"/>
              <w:jc w:val="center"/>
            </w:pPr>
            <w:r>
              <w:rPr>
                <w:rFonts w:ascii="仿宋_GB2312" w:hAnsi="仿宋_GB2312" w:cs="仿宋_GB2312" w:eastAsia="仿宋_GB2312"/>
                <w:sz w:val="32"/>
                <w:b/>
              </w:rPr>
              <w:t>背面</w:t>
            </w:r>
          </w:p>
          <w:tbl>
            <w:tblPr>
              <w:tblBorders>
                <w:top w:val="none" w:color="000000" w:sz="4"/>
                <w:left w:val="none" w:color="000000" w:sz="4"/>
                <w:bottom w:val="none" w:color="000000" w:sz="4"/>
                <w:right w:val="none" w:color="000000" w:sz="4"/>
                <w:insideH w:val="none"/>
                <w:insideV w:val="none"/>
              </w:tblBorders>
            </w:tblPr>
            <w:tblGrid>
              <w:gridCol w:w="2553"/>
            </w:tblGrid>
            <w:tr>
              <w:tc>
                <w:tcPr>
                  <w:tcW w:type="dxa" w:w="25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643"/>
                    <w:jc w:val="center"/>
                  </w:pPr>
                  <w:r>
                    <w:rPr>
                      <w:rFonts w:ascii="仿宋_GB2312" w:hAnsi="仿宋_GB2312" w:cs="仿宋_GB2312" w:eastAsia="仿宋_GB2312"/>
                      <w:sz w:val="32"/>
                      <w:b/>
                    </w:rPr>
                    <w:t>项目概况</w:t>
                  </w:r>
                </w:p>
                <w:p>
                  <w:pPr>
                    <w:pStyle w:val="null3"/>
                    <w:ind w:firstLine="560"/>
                    <w:jc w:val="both"/>
                  </w:pPr>
                  <w:r>
                    <w:rPr>
                      <w:rFonts w:ascii="仿宋_GB2312" w:hAnsi="仿宋_GB2312" w:cs="仿宋_GB2312" w:eastAsia="仿宋_GB2312"/>
                      <w:sz w:val="28"/>
                    </w:rPr>
                    <w:t>汉中市</w:t>
                  </w:r>
                  <w:r>
                    <w:rPr>
                      <w:rFonts w:ascii="仿宋_GB2312" w:hAnsi="仿宋_GB2312" w:cs="仿宋_GB2312" w:eastAsia="仿宋_GB2312"/>
                      <w:sz w:val="28"/>
                    </w:rPr>
                    <w:t>略阳</w:t>
                  </w:r>
                  <w:r>
                    <w:rPr>
                      <w:rFonts w:ascii="仿宋_GB2312" w:hAnsi="仿宋_GB2312" w:cs="仿宋_GB2312" w:eastAsia="仿宋_GB2312"/>
                      <w:sz w:val="28"/>
                    </w:rPr>
                    <w:t>县</w:t>
                  </w:r>
                  <w:r>
                    <w:rPr>
                      <w:rFonts w:ascii="仿宋_GB2312" w:hAnsi="仿宋_GB2312" w:cs="仿宋_GB2312" w:eastAsia="仿宋_GB2312"/>
                      <w:sz w:val="28"/>
                    </w:rPr>
                    <w:t>2025年第二批中央财政森林修复项目</w:t>
                  </w:r>
                  <w:r>
                    <w:rPr>
                      <w:rFonts w:ascii="仿宋_GB2312" w:hAnsi="仿宋_GB2312" w:cs="仿宋_GB2312" w:eastAsia="仿宋_GB2312"/>
                      <w:sz w:val="28"/>
                    </w:rPr>
                    <w:t>位于略阳县两河口镇李家坝村，</w:t>
                  </w:r>
                  <w:r>
                    <w:rPr>
                      <w:rFonts w:ascii="仿宋_GB2312" w:hAnsi="仿宋_GB2312" w:cs="仿宋_GB2312" w:eastAsia="仿宋_GB2312"/>
                      <w:sz w:val="28"/>
                    </w:rPr>
                    <w:t>11</w:t>
                  </w:r>
                  <w:r>
                    <w:rPr>
                      <w:rFonts w:ascii="仿宋_GB2312" w:hAnsi="仿宋_GB2312" w:cs="仿宋_GB2312" w:eastAsia="仿宋_GB2312"/>
                      <w:sz w:val="28"/>
                    </w:rPr>
                    <w:t>个作业小班、作业面积</w:t>
                  </w:r>
                  <w:r>
                    <w:rPr>
                      <w:rFonts w:ascii="仿宋_GB2312" w:hAnsi="仿宋_GB2312" w:cs="仿宋_GB2312" w:eastAsia="仿宋_GB2312"/>
                      <w:sz w:val="28"/>
                    </w:rPr>
                    <w:t>2000</w:t>
                  </w:r>
                  <w:r>
                    <w:rPr>
                      <w:rFonts w:ascii="仿宋_GB2312" w:hAnsi="仿宋_GB2312" w:cs="仿宋_GB2312" w:eastAsia="仿宋_GB2312"/>
                      <w:sz w:val="28"/>
                    </w:rPr>
                    <w:t>亩。抚育方式为综合抚育，抚育方法：疏伐</w:t>
                  </w:r>
                  <w:r>
                    <w:rPr>
                      <w:rFonts w:ascii="仿宋_GB2312" w:hAnsi="仿宋_GB2312" w:cs="仿宋_GB2312" w:eastAsia="仿宋_GB2312"/>
                      <w:sz w:val="28"/>
                    </w:rPr>
                    <w:t>+割灌</w:t>
                  </w:r>
                  <w:r>
                    <w:rPr>
                      <w:rFonts w:ascii="仿宋_GB2312" w:hAnsi="仿宋_GB2312" w:cs="仿宋_GB2312" w:eastAsia="仿宋_GB2312"/>
                      <w:sz w:val="28"/>
                    </w:rPr>
                    <w:t>藤</w:t>
                  </w:r>
                  <w:r>
                    <w:rPr>
                      <w:rFonts w:ascii="仿宋_GB2312" w:hAnsi="仿宋_GB2312" w:cs="仿宋_GB2312" w:eastAsia="仿宋_GB2312"/>
                      <w:sz w:val="28"/>
                    </w:rPr>
                    <w:t>+</w:t>
                  </w:r>
                  <w:r>
                    <w:rPr>
                      <w:rFonts w:ascii="仿宋_GB2312" w:hAnsi="仿宋_GB2312" w:cs="仿宋_GB2312" w:eastAsia="仿宋_GB2312"/>
                      <w:sz w:val="28"/>
                    </w:rPr>
                    <w:t>补植</w:t>
                  </w:r>
                  <w:r>
                    <w:rPr>
                      <w:rFonts w:ascii="仿宋_GB2312" w:hAnsi="仿宋_GB2312" w:cs="仿宋_GB2312" w:eastAsia="仿宋_GB2312"/>
                      <w:sz w:val="28"/>
                    </w:rPr>
                    <w:t>20</w:t>
                  </w:r>
                  <w:r>
                    <w:rPr>
                      <w:rFonts w:ascii="仿宋_GB2312" w:hAnsi="仿宋_GB2312" w:cs="仿宋_GB2312" w:eastAsia="仿宋_GB2312"/>
                      <w:sz w:val="28"/>
                    </w:rPr>
                    <w:t>00亩</w:t>
                  </w:r>
                  <w:r>
                    <w:rPr>
                      <w:rFonts w:ascii="仿宋_GB2312" w:hAnsi="仿宋_GB2312" w:cs="仿宋_GB2312" w:eastAsia="仿宋_GB2312"/>
                      <w:sz w:val="28"/>
                      <w:color w:val="000000"/>
                    </w:rPr>
                    <w:t>。</w:t>
                  </w:r>
                  <w:r>
                    <w:rPr>
                      <w:rFonts w:ascii="仿宋_GB2312" w:hAnsi="仿宋_GB2312" w:cs="仿宋_GB2312" w:eastAsia="仿宋_GB2312"/>
                      <w:sz w:val="28"/>
                    </w:rPr>
                    <w:t>项目实施后可改善项目区林分卫生状况，提高林分质量，增加目的树种资源储备，提高林地生产力，增加林木的经济价值，有利于更好地发挥生态保护功能，森林生态系统修复、生态资源管理和服务将更加到位。项目施工可提供临时就业岗位</w:t>
                  </w:r>
                  <w:r>
                    <w:rPr>
                      <w:rFonts w:ascii="仿宋_GB2312" w:hAnsi="仿宋_GB2312" w:cs="仿宋_GB2312" w:eastAsia="仿宋_GB2312"/>
                      <w:sz w:val="28"/>
                    </w:rPr>
                    <w:t>2</w:t>
                  </w:r>
                  <w:r>
                    <w:rPr>
                      <w:rFonts w:ascii="仿宋_GB2312" w:hAnsi="仿宋_GB2312" w:cs="仿宋_GB2312" w:eastAsia="仿宋_GB2312"/>
                      <w:sz w:val="28"/>
                    </w:rPr>
                    <w:t>0个以上。</w:t>
                  </w:r>
                </w:p>
              </w:tc>
            </w:tr>
          </w:tbl>
          <w:p>
            <w:pPr>
              <w:pStyle w:val="null3"/>
              <w:jc w:val="both"/>
              <w:outlineLvl w:val="1"/>
            </w:pPr>
            <w:r>
              <w:rPr>
                <w:rFonts w:ascii="仿宋_GB2312" w:hAnsi="仿宋_GB2312" w:cs="仿宋_GB2312" w:eastAsia="仿宋_GB2312"/>
                <w:sz w:val="32"/>
                <w:b/>
              </w:rPr>
              <w:t>7</w:t>
            </w:r>
            <w:r>
              <w:rPr>
                <w:rFonts w:ascii="仿宋_GB2312" w:hAnsi="仿宋_GB2312" w:cs="仿宋_GB2312" w:eastAsia="仿宋_GB2312"/>
                <w:sz w:val="32"/>
                <w:b/>
              </w:rPr>
              <w:t>小班牌设立</w:t>
            </w:r>
          </w:p>
          <w:p>
            <w:pPr>
              <w:pStyle w:val="null3"/>
            </w:pPr>
            <w:r>
              <w:rPr>
                <w:rFonts w:ascii="仿宋_GB2312" w:hAnsi="仿宋_GB2312" w:cs="仿宋_GB2312" w:eastAsia="仿宋_GB2312"/>
                <w:sz w:val="32"/>
              </w:rPr>
              <w:t>在每个小班明显位置悬挂小班标识牌，标注小班面积、抚育方式、小班号、补植面积和补植树种。</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有符合完成本项目服务内容的人员配置</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有符合完成本项目服务内容的设备设施</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2025年12月底完成</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符合国家相关规定验收标准及设计规范；验收合格。</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项目进度达到70%</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项目竣工验收合格后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按照招标文件和合同等相关文件约定执行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供应商应提交的相关资格证明材料.docx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 人证书等国家规定的相关证明，自然人参与的提供其身份证明；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法定代表人证明或授权委托书</w:t>
            </w:r>
          </w:p>
        </w:tc>
        <w:tc>
          <w:tcPr>
            <w:tcW w:type="dxa" w:w="3322"/>
          </w:tcPr>
          <w:p>
            <w:pPr>
              <w:pStyle w:val="null3"/>
            </w:pPr>
            <w:r>
              <w:rPr>
                <w:rFonts w:ascii="仿宋_GB2312" w:hAnsi="仿宋_GB2312" w:cs="仿宋_GB2312" w:eastAsia="仿宋_GB2312"/>
              </w:rPr>
              <w:t>供应商应授权合法的人员参加投标，非法定代表人参加投标的，须提供法定代表人授权书(附法定代 表人、被授权人身份证复印件);法定代表人直接参加投标的，须提供法定代表人身份证明(附法定代 表人身份证复印件)；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资格承诺函</w:t>
            </w:r>
          </w:p>
        </w:tc>
        <w:tc>
          <w:tcPr>
            <w:tcW w:type="dxa" w:w="3322"/>
          </w:tcPr>
          <w:p>
            <w:pPr>
              <w:pStyle w:val="null3"/>
            </w:pPr>
            <w:r>
              <w:rPr>
                <w:rFonts w:ascii="仿宋_GB2312" w:hAnsi="仿宋_GB2312" w:cs="仿宋_GB2312" w:eastAsia="仿宋_GB2312"/>
              </w:rPr>
              <w:t>供应商须具有健全的财务会计制度、履行合同所需的设备和专业技术能力、依法缴纳税收和社会保 障资金，以及参加采购活动前3年内经营活动无重大违法活动记录，供应商须提供《汉中市政府采购 供应商资格承诺函》并签字盖章；</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响应文件的电子签章</w:t>
            </w:r>
          </w:p>
        </w:tc>
        <w:tc>
          <w:tcPr>
            <w:tcW w:type="dxa" w:w="3322"/>
          </w:tcPr>
          <w:p>
            <w:pPr>
              <w:pStyle w:val="null3"/>
            </w:pPr>
            <w:r>
              <w:rPr>
                <w:rFonts w:ascii="仿宋_GB2312" w:hAnsi="仿宋_GB2312" w:cs="仿宋_GB2312" w:eastAsia="仿宋_GB2312"/>
              </w:rPr>
              <w:t>响应文件按竞争性磋商文件要求进行电子签章</w:t>
            </w:r>
          </w:p>
        </w:tc>
        <w:tc>
          <w:tcPr>
            <w:tcW w:type="dxa" w:w="1661"/>
          </w:tcPr>
          <w:p>
            <w:pPr>
              <w:pStyle w:val="null3"/>
            </w:pPr>
            <w:r>
              <w:rPr>
                <w:rFonts w:ascii="仿宋_GB2312" w:hAnsi="仿宋_GB2312" w:cs="仿宋_GB2312" w:eastAsia="仿宋_GB2312"/>
              </w:rPr>
              <w:t>服务内容及服务邀请应答表 中小企业声明函 近年类似业绩一览表.docx 商务应答表 报价表 响应文件封面 拟投入本项目人员配置情况表1.docx 供应商应提交的相关资格证明材料.docx 残疾人福利性单位声明函 服务方案 标的清单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响应文件内容及格式</w:t>
            </w:r>
          </w:p>
        </w:tc>
        <w:tc>
          <w:tcPr>
            <w:tcW w:type="dxa" w:w="3322"/>
          </w:tcPr>
          <w:p>
            <w:pPr>
              <w:pStyle w:val="null3"/>
            </w:pPr>
            <w:r>
              <w:rPr>
                <w:rFonts w:ascii="仿宋_GB2312" w:hAnsi="仿宋_GB2312" w:cs="仿宋_GB2312" w:eastAsia="仿宋_GB2312"/>
              </w:rPr>
              <w:t>符合竞争性磋商文件要求，响应文件内容齐全、无遗漏</w:t>
            </w:r>
          </w:p>
        </w:tc>
        <w:tc>
          <w:tcPr>
            <w:tcW w:type="dxa" w:w="1661"/>
          </w:tcPr>
          <w:p>
            <w:pPr>
              <w:pStyle w:val="null3"/>
            </w:pPr>
            <w:r>
              <w:rPr>
                <w:rFonts w:ascii="仿宋_GB2312" w:hAnsi="仿宋_GB2312" w:cs="仿宋_GB2312" w:eastAsia="仿宋_GB2312"/>
              </w:rPr>
              <w:t>服务内容及服务邀请应答表 中小企业声明函 近年类似业绩一览表.docx 商务应答表 报价表 响应文件封面 拟投入本项目人员配置情况表1.docx 供应商应提交的相关资格证明材料.docx 残疾人福利性单位声明函 服务方案 标的清单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一、评审内容供应商针对本项目编制完善的工作方案，内容包含：①抚育采伐方案②补植苗木方案③修枝、割灌、除草方案。二、评审标准1.完整性：方案必须全面，对评审内容中的各项要求有详细描述；2.可实施性：切合本项目实际情况，提出步骤清晰、合理的方案； 3.针对性：方案能够紧扣项目实际情况，内容科学合理。 三、赋分标准（满分24分） ①抚育采伐方案：每完全满足一个评审标准得0-4分，满分8分； ②补植苗木方案:每完全满足一个评审标准得0-4分，满分8分； ③修枝、割灌、除草方案：每完全满足一个评审标准得0-4分，满分8分；</w:t>
            </w:r>
          </w:p>
        </w:tc>
        <w:tc>
          <w:tcPr>
            <w:tcW w:type="dxa" w:w="831"/>
          </w:tcPr>
          <w:p>
            <w:pPr>
              <w:pStyle w:val="null3"/>
              <w:jc w:val="right"/>
            </w:pPr>
            <w:r>
              <w:rPr>
                <w:rFonts w:ascii="仿宋_GB2312" w:hAnsi="仿宋_GB2312" w:cs="仿宋_GB2312" w:eastAsia="仿宋_GB2312"/>
              </w:rPr>
              <w:t>24.0000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服务质量保证措施</w:t>
            </w:r>
          </w:p>
        </w:tc>
        <w:tc>
          <w:tcPr>
            <w:tcW w:type="dxa" w:w="2492"/>
          </w:tcPr>
          <w:p>
            <w:pPr>
              <w:pStyle w:val="null3"/>
            </w:pPr>
            <w:r>
              <w:rPr>
                <w:rFonts w:ascii="仿宋_GB2312" w:hAnsi="仿宋_GB2312" w:cs="仿宋_GB2312" w:eastAsia="仿宋_GB2312"/>
              </w:rPr>
              <w:t>一、评审内容供应商针对本项目提出服务质量保证措施，方案包含：①质量控制方案②质量保证措施方案。 二、评审标准 1.完整性：方案必须全面，对评审内容中的各项要求有详细描述； 2.可实施性：切合本项目实际情况，提出步骤清晰、合理的方案； 3.针对性：方案能够紧扣项目实际情况，内容科学合理。 三、赋分标准（满分12分） ①质量控制方案：每完全满足一个评审标准得0-2分，满分6分； ②质量保证措施方案:每完全满足一个评审标准得0-2分，满分6分。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进度保障措施</w:t>
            </w:r>
          </w:p>
        </w:tc>
        <w:tc>
          <w:tcPr>
            <w:tcW w:type="dxa" w:w="2492"/>
          </w:tcPr>
          <w:p>
            <w:pPr>
              <w:pStyle w:val="null3"/>
            </w:pPr>
            <w:r>
              <w:rPr>
                <w:rFonts w:ascii="仿宋_GB2312" w:hAnsi="仿宋_GB2312" w:cs="仿宋_GB2312" w:eastAsia="仿宋_GB2312"/>
              </w:rPr>
              <w:t>一、评审内容供应商针对本项目提出项目进度计划，方案包含：①项目进度计划②进度保证措施。二、评审标准 1.完整性：方案必须全面，对评审内容中的各项要求有详细描述；2.可实施性：切合本项目实际情况，提出步骤清晰、合理的方案； 3.针对性：方案能够紧扣项目实际情况，内容科学合理。 三、赋分标准（满分12分） ①项目进度计划：每完全满足一个评审标准得0-2分，满分6分； ②进度保证措施:每完全满足一个评审标准得0-2分，满分6分。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安全措施</w:t>
            </w:r>
          </w:p>
        </w:tc>
        <w:tc>
          <w:tcPr>
            <w:tcW w:type="dxa" w:w="2492"/>
          </w:tcPr>
          <w:p>
            <w:pPr>
              <w:pStyle w:val="null3"/>
            </w:pPr>
            <w:r>
              <w:rPr>
                <w:rFonts w:ascii="仿宋_GB2312" w:hAnsi="仿宋_GB2312" w:cs="仿宋_GB2312" w:eastAsia="仿宋_GB2312"/>
              </w:rPr>
              <w:t>一、评审内容 结合本项目实际情况，方案包含：①详细制定安全生产管理体系及保证措施②项目风险预测与防范。 二、评审标准 1.完整性：方案必须全面，对评审内容中的各项要求有详细描述； 2.可实施性：切合本项目实际情况，提出步骤清晰、合理的方案； 3.针对性：方案能够紧扣项目实际情况，内容科学合理。 三、赋分标准（满分8分） ①详细制定安全生产管理体系及保证措施及项目风险预测与防范：每完全满足一个评审标准得0-2分，满分4分； ②项目风险预测与防范:每完全满足一个评审标准得0-2分，满分4分。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机具设备配置</w:t>
            </w:r>
          </w:p>
        </w:tc>
        <w:tc>
          <w:tcPr>
            <w:tcW w:type="dxa" w:w="2492"/>
          </w:tcPr>
          <w:p>
            <w:pPr>
              <w:pStyle w:val="null3"/>
            </w:pPr>
            <w:r>
              <w:rPr>
                <w:rFonts w:ascii="仿宋_GB2312" w:hAnsi="仿宋_GB2312" w:cs="仿宋_GB2312" w:eastAsia="仿宋_GB2312"/>
              </w:rPr>
              <w:t>一、评审内容供应商针对本项目提出适用于本项目的工器具配置方案，包括但不限于：①工器具配置方案；②工器具维护方案；③工器具供应保障措施。 二、评审标准： 1、完整性：方案全面，对评审内容中的各项要求描述详细； 2、可实施性：切合本项目实际情况，实施步骤清晰、合理； 3、针对性：方案能够紧扣项目实际情况，内容科学合理。 三、赋分（满分9分） ①工器具配置方案：每满足一个评审标准，得1分，满分3分； ②工器具维护方案：每满足一个评审标准，得1分，满分3分； ③工器具供应保障措施：每满足一 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一、评审内容 针对本项目服务承诺，方案包含：①售后服务方案②售后服务流程 二、评审标准 1.完整性：方案必须全面，对评审内容中的各项要求有详细描述； 2.可实施性：切合本项目实际情况，提出步骤清晰、合理的方案； 3.针对性：方案能够紧扣项目实际情况，内容科学合理。 三、赋分标准（满分12分） ①售后服务方案：每完全满足一个评审标准得0-2分，满分6分； ②售后服务流程:每完全满足一个评审标准得0-2分，满分6分。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①项目负责人具备相关专业中级及以上职称证书。提供一个中级职称得1分；提供一个高级职称得2分，满分2分；②项目组人员整体实力:项目组人员搭配合理 ，每人计1分，最高不超过5分； 评审依据： 以上人员须提供不限于身份证、学历证、供应商所属社保机构出具社保证明等证明资料复印件相关证书，未提供相关内容不得分。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拟投入本项目人员配置情况表1.docx</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业绩证明</w:t>
            </w:r>
          </w:p>
        </w:tc>
        <w:tc>
          <w:tcPr>
            <w:tcW w:type="dxa" w:w="2492"/>
          </w:tcPr>
          <w:p>
            <w:pPr>
              <w:pStyle w:val="null3"/>
            </w:pPr>
            <w:r>
              <w:rPr>
                <w:rFonts w:ascii="仿宋_GB2312" w:hAnsi="仿宋_GB2312" w:cs="仿宋_GB2312" w:eastAsia="仿宋_GB2312"/>
              </w:rPr>
              <w:t>自 2022年1月1日起至今类似项目业绩，每提供一份业绩合同得2分，满分为6分，不得重复累计。 评审依据：业绩须是供应商完成的同类项目，以成交通知书或合同协议书原件或复印件为准。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近年类似业绩一览表.docx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价格分统一采用低价优先法计算，即满足磋商文件要求且最后报价最低的响应人报价为磋商基准价，其价格分为满分。其他响应人的价格分统一按照下列公式计算： 磋商报价得分=(磋商基准价／最后报价)× 价格分值</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详见附件：近年类似业绩一览表.docx</w:t>
      </w:r>
    </w:p>
    <w:p>
      <w:pPr>
        <w:pStyle w:val="null3"/>
        <w:ind w:firstLine="960"/>
      </w:pPr>
      <w:r>
        <w:rPr>
          <w:rFonts w:ascii="仿宋_GB2312" w:hAnsi="仿宋_GB2312" w:cs="仿宋_GB2312" w:eastAsia="仿宋_GB2312"/>
        </w:rPr>
        <w:t>详见附件：拟投入本项目人员配置情况表1.docx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详见附件：拟签订的合同条款文本.docx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media/image1.png" Type="http://schemas.openxmlformats.org/officeDocument/2006/relationships/imag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