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版本号：zchz-zb-2025-32号20251215001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2025年汉中市略阳县五龙洞镇、横现河街道办、接官亭镇高标准农田建设项目（改造提升）地力培肥采购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zchz-zb-2025-32号</w:t>
      </w:r>
      <w:r>
        <w:br/>
      </w:r>
      <w:r>
        <w:br/>
      </w:r>
      <w:r>
        <w:br/>
      </w:r>
    </w:p>
    <w:p>
      <w:pPr>
        <w:pStyle w:val="null3"/>
        <w:jc w:val="center"/>
        <w:outlineLvl w:val="2"/>
      </w:pPr>
      <w:r>
        <w:rPr>
          <w:rFonts w:ascii="仿宋_GB2312" w:hAnsi="仿宋_GB2312" w:cs="仿宋_GB2312" w:eastAsia="仿宋_GB2312"/>
          <w:sz w:val="28"/>
          <w:b/>
        </w:rPr>
        <w:t>略阳县农业农村局</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略阳县农业农村局</w:t>
      </w:r>
      <w:r>
        <w:rPr>
          <w:rFonts w:ascii="仿宋_GB2312" w:hAnsi="仿宋_GB2312" w:cs="仿宋_GB2312" w:eastAsia="仿宋_GB2312"/>
        </w:rPr>
        <w:t>委托，拟对</w:t>
      </w:r>
      <w:r>
        <w:rPr>
          <w:rFonts w:ascii="仿宋_GB2312" w:hAnsi="仿宋_GB2312" w:cs="仿宋_GB2312" w:eastAsia="仿宋_GB2312"/>
        </w:rPr>
        <w:t>2025年汉中市略阳县五龙洞镇、横现河街道办、接官亭镇高标准农田建设项目（改造提升）地力培肥采购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zchz-zb-2025-32号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2025年汉中市略阳县五龙洞镇、横现河街道办、接官亭镇高标准农田建设项目（改造提升）地力培肥采购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对五龙洞镇、横现河街道办、接官亭镇16个村增施有机肥1000吨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采购包1（2025年汉中市略阳县五龙洞镇、横现河街道办、接官亭镇高标准农田建设项目（改造提升）地力培肥采购）：属于专门面向中小企业采购。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1、具有独立承担民事责任能力的法人、其他组织或自然人：供应商需提供合法有效的统一社会信用代码营业执照（事业单位提供事业单位法人证书，自然人应提供身份证明文件）</w:t>
      </w:r>
    </w:p>
    <w:p>
      <w:pPr>
        <w:pStyle w:val="null3"/>
      </w:pPr>
      <w:r>
        <w:rPr>
          <w:rFonts w:ascii="仿宋_GB2312" w:hAnsi="仿宋_GB2312" w:cs="仿宋_GB2312" w:eastAsia="仿宋_GB2312"/>
        </w:rPr>
        <w:t>2、应授权合法的人员参加谈判全过程：法定代表人直接参加投标的，须出具法定代表人身份证，法定代表人授权委托代表人参加投标的，须出具法定代表人授权委托书及授权代表人身份证</w:t>
      </w:r>
    </w:p>
    <w:p>
      <w:pPr>
        <w:pStyle w:val="null3"/>
      </w:pPr>
      <w:r>
        <w:rPr>
          <w:rFonts w:ascii="仿宋_GB2312" w:hAnsi="仿宋_GB2312" w:cs="仿宋_GB2312" w:eastAsia="仿宋_GB2312"/>
        </w:rPr>
        <w:t>3、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按照汉中市财政局《关于全面推行政府采购投标人基本资格条件承诺制的通知》(汉财办采管(2024)20号)文件要求，提供满足相应条件的资格承诺函</w:t>
      </w:r>
    </w:p>
    <w:p>
      <w:pPr>
        <w:pStyle w:val="null3"/>
      </w:pPr>
      <w:r>
        <w:rPr>
          <w:rFonts w:ascii="仿宋_GB2312" w:hAnsi="仿宋_GB2312" w:cs="仿宋_GB2312" w:eastAsia="仿宋_GB2312"/>
        </w:rPr>
        <w:t>4、资质要求：须提供所投产品的农业部门颁发的《肥料登记证》或提供农业农村部肥料备案信息系统、省级农业农村部门肥料备案信息系统的备案凭证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15291638855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略阳县农业农村局</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略阳县农业农村局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中创名建工程管理集团有限公司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符合国家农业行业执行标准(NY/T 525-2021)，满足谈判文件各项要求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 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对五龙洞镇、横现河街道办、接官亭镇16个村增施有机肥1000吨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地力培肥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标的名称：地力培肥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1"/>
                <w:color w:val="000000"/>
              </w:rPr>
              <w:t>符合国家农业行业执行标准(NY/T 525-2021)</w:t>
            </w:r>
          </w:p>
          <w:p>
            <w:pPr>
              <w:pStyle w:val="null3"/>
            </w:pPr>
            <w:r>
              <w:rPr>
                <w:rFonts w:ascii="仿宋_GB2312" w:hAnsi="仿宋_GB2312" w:cs="仿宋_GB2312" w:eastAsia="仿宋_GB2312"/>
                <w:sz w:val="31"/>
                <w:b/>
                <w:color w:val="000000"/>
              </w:rPr>
              <w:t>采购需求明细：</w:t>
            </w:r>
          </w:p>
          <w:p>
            <w:pPr>
              <w:pStyle w:val="null3"/>
            </w:pPr>
            <w:r>
              <w:rPr>
                <w:rFonts w:ascii="仿宋_GB2312" w:hAnsi="仿宋_GB2312" w:cs="仿宋_GB2312" w:eastAsia="仿宋_GB2312"/>
                <w:sz w:val="31"/>
                <w:color w:val="000000"/>
              </w:rPr>
              <w:t>针对项目区土壤现状，开展土壤氮、磷、钾及中、微量元素养分测试，掌握土壤供肥能力状况。测土配方施肥技术包括“测 土、配方、配肥、供应、施肥指导”五个核心环节。项目区位于丘陵地区，根据现场观测，土壤养分含量为5级，实施测土配方施肥5000亩，增施有机肥1000吨。</w:t>
            </w:r>
          </w:p>
          <w:p>
            <w:pPr>
              <w:pStyle w:val="null3"/>
              <w:ind w:left="3120"/>
              <w:jc w:val="left"/>
            </w:pPr>
            <w:r>
              <w:rPr>
                <w:rFonts w:ascii="仿宋_GB2312" w:hAnsi="仿宋_GB2312" w:cs="仿宋_GB2312" w:eastAsia="仿宋_GB2312"/>
                <w:sz w:val="31"/>
                <w:b/>
                <w:color w:val="000000"/>
              </w:rPr>
              <w:t>土壤培肥工程汇总表</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605"/>
              <w:gridCol w:w="825"/>
              <w:gridCol w:w="762"/>
            </w:tblGrid>
            <w:tr>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pPr>
                  <w:r>
                    <w:rPr>
                      <w:rFonts w:ascii="仿宋_GB2312" w:hAnsi="仿宋_GB2312" w:cs="仿宋_GB2312" w:eastAsia="仿宋_GB2312"/>
                      <w:sz w:val="28"/>
                      <w:b/>
                      <w:color w:val="000000"/>
                    </w:rPr>
                    <w:t>编号</w:t>
                  </w:r>
                </w:p>
              </w:tc>
              <w:tc>
                <w:tcPr>
                  <w:tcW w:type="dxa" w:w="6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28"/>
                      <w:b/>
                      <w:color w:val="000000"/>
                    </w:rPr>
                    <w:t>村名</w:t>
                  </w:r>
                </w:p>
              </w:tc>
              <w:tc>
                <w:tcPr>
                  <w:tcW w:type="dxa" w:w="8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30"/>
                  </w:pPr>
                  <w:r>
                    <w:rPr>
                      <w:rFonts w:ascii="仿宋_GB2312" w:hAnsi="仿宋_GB2312" w:cs="仿宋_GB2312" w:eastAsia="仿宋_GB2312"/>
                      <w:sz w:val="28"/>
                      <w:b/>
                      <w:color w:val="000000"/>
                    </w:rPr>
                    <w:t>培肥面积</w:t>
                  </w:r>
                  <w:r>
                    <w:rPr>
                      <w:rFonts w:ascii="仿宋_GB2312" w:hAnsi="仿宋_GB2312" w:cs="仿宋_GB2312" w:eastAsia="仿宋_GB2312"/>
                      <w:sz w:val="28"/>
                      <w:b/>
                      <w:color w:val="000000"/>
                    </w:rPr>
                    <w:t>(亩)</w:t>
                  </w:r>
                </w:p>
              </w:tc>
              <w:tc>
                <w:tcPr>
                  <w:tcW w:type="dxa" w:w="7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pPr>
                  <w:r>
                    <w:rPr>
                      <w:rFonts w:ascii="仿宋_GB2312" w:hAnsi="仿宋_GB2312" w:cs="仿宋_GB2312" w:eastAsia="仿宋_GB2312"/>
                      <w:sz w:val="28"/>
                      <w:b/>
                      <w:color w:val="000000"/>
                    </w:rPr>
                    <w:t>培肥数量</w:t>
                  </w:r>
                  <w:r>
                    <w:rPr>
                      <w:rFonts w:ascii="仿宋_GB2312" w:hAnsi="仿宋_GB2312" w:cs="仿宋_GB2312" w:eastAsia="仿宋_GB2312"/>
                      <w:sz w:val="28"/>
                      <w:b/>
                      <w:color w:val="000000"/>
                    </w:rPr>
                    <w:t>(吨)</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8"/>
                      <w:color w:val="605050"/>
                    </w:rPr>
                    <w:t>1</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28"/>
                      <w:color w:val="000000"/>
                    </w:rPr>
                    <w:t>横现河村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60"/>
                  </w:pPr>
                  <w:r>
                    <w:rPr>
                      <w:rFonts w:ascii="仿宋_GB2312" w:hAnsi="仿宋_GB2312" w:cs="仿宋_GB2312" w:eastAsia="仿宋_GB2312"/>
                      <w:sz w:val="28"/>
                      <w:color w:val="000000"/>
                    </w:rPr>
                    <w:t>201</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0"/>
                  </w:pPr>
                  <w:r>
                    <w:rPr>
                      <w:rFonts w:ascii="仿宋_GB2312" w:hAnsi="仿宋_GB2312" w:cs="仿宋_GB2312" w:eastAsia="仿宋_GB2312"/>
                      <w:sz w:val="28"/>
                      <w:color w:val="000000"/>
                    </w:rPr>
                    <w:t>40</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000000"/>
                    </w:rPr>
                    <w:t>2</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老虎坪村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208</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42</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8"/>
                      <w:color w:val="504040"/>
                    </w:rPr>
                    <w:t>3</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45"/>
                  </w:pPr>
                  <w:r>
                    <w:rPr>
                      <w:rFonts w:ascii="仿宋_GB2312" w:hAnsi="仿宋_GB2312" w:cs="仿宋_GB2312" w:eastAsia="仿宋_GB2312"/>
                      <w:sz w:val="28"/>
                      <w:color w:val="000000"/>
                    </w:rPr>
                    <w:t>跑马村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60"/>
                  </w:pPr>
                  <w:r>
                    <w:rPr>
                      <w:rFonts w:ascii="仿宋_GB2312" w:hAnsi="仿宋_GB2312" w:cs="仿宋_GB2312" w:eastAsia="仿宋_GB2312"/>
                      <w:sz w:val="28"/>
                      <w:color w:val="000000"/>
                    </w:rPr>
                    <w:t>787</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28"/>
                      <w:color w:val="000000"/>
                    </w:rPr>
                    <w:t>157</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000000"/>
                    </w:rPr>
                    <w:t>4</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石坝社区</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102</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20</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404030"/>
                    </w:rPr>
                    <w:t>5</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观音堂村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161</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32</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40"/>
                  </w:pPr>
                  <w:r>
                    <w:rPr>
                      <w:rFonts w:ascii="仿宋_GB2312" w:hAnsi="仿宋_GB2312" w:cs="仿宋_GB2312" w:eastAsia="仿宋_GB2312"/>
                      <w:sz w:val="28"/>
                      <w:color w:val="000000"/>
                    </w:rPr>
                    <w:t>6</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28"/>
                      <w:color w:val="000000"/>
                    </w:rPr>
                    <w:t>蹇家坝村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60"/>
                  </w:pPr>
                  <w:r>
                    <w:rPr>
                      <w:rFonts w:ascii="仿宋_GB2312" w:hAnsi="仿宋_GB2312" w:cs="仿宋_GB2312" w:eastAsia="仿宋_GB2312"/>
                      <w:sz w:val="28"/>
                      <w:color w:val="000000"/>
                    </w:rPr>
                    <w:t>141</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0"/>
                  </w:pPr>
                  <w:r>
                    <w:rPr>
                      <w:rFonts w:ascii="仿宋_GB2312" w:hAnsi="仿宋_GB2312" w:cs="仿宋_GB2312" w:eastAsia="仿宋_GB2312"/>
                      <w:sz w:val="28"/>
                      <w:color w:val="000000"/>
                    </w:rPr>
                    <w:t>28</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000000"/>
                    </w:rPr>
                    <w:t>7</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75"/>
                  </w:pPr>
                  <w:r>
                    <w:rPr>
                      <w:rFonts w:ascii="仿宋_GB2312" w:hAnsi="仿宋_GB2312" w:cs="仿宋_GB2312" w:eastAsia="仿宋_GB2312"/>
                      <w:sz w:val="28"/>
                      <w:color w:val="000000"/>
                    </w:rPr>
                    <w:t>接官亭社区</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20"/>
                  </w:pPr>
                  <w:r>
                    <w:rPr>
                      <w:rFonts w:ascii="仿宋_GB2312" w:hAnsi="仿宋_GB2312" w:cs="仿宋_GB2312" w:eastAsia="仿宋_GB2312"/>
                      <w:sz w:val="28"/>
                      <w:color w:val="000000"/>
                    </w:rPr>
                    <w:t>88</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18</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000000"/>
                    </w:rPr>
                    <w:t>8</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麻柳铺村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724</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40"/>
                  </w:pPr>
                  <w:r>
                    <w:rPr>
                      <w:rFonts w:ascii="仿宋_GB2312" w:hAnsi="仿宋_GB2312" w:cs="仿宋_GB2312" w:eastAsia="仿宋_GB2312"/>
                      <w:sz w:val="28"/>
                      <w:color w:val="000000"/>
                    </w:rPr>
                    <w:t>145</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40"/>
                  </w:pPr>
                  <w:r>
                    <w:rPr>
                      <w:rFonts w:ascii="仿宋_GB2312" w:hAnsi="仿宋_GB2312" w:cs="仿宋_GB2312" w:eastAsia="仿宋_GB2312"/>
                      <w:sz w:val="28"/>
                      <w:color w:val="000000"/>
                    </w:rPr>
                    <w:t>9</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上院子村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20"/>
                  </w:pPr>
                  <w:r>
                    <w:rPr>
                      <w:rFonts w:ascii="仿宋_GB2312" w:hAnsi="仿宋_GB2312" w:cs="仿宋_GB2312" w:eastAsia="仿宋_GB2312"/>
                      <w:sz w:val="28"/>
                      <w:color w:val="000000"/>
                    </w:rPr>
                    <w:t>86</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17</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000000"/>
                    </w:rPr>
                    <w:t>10</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仿宋_GB2312" w:hAnsi="仿宋_GB2312" w:cs="仿宋_GB2312" w:eastAsia="仿宋_GB2312"/>
                      <w:sz w:val="28"/>
                      <w:color w:val="000000"/>
                    </w:rPr>
                    <w:t>腰庄村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193</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39</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304040"/>
                    </w:rPr>
                    <w:t>11</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金池院村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366</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73</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000000"/>
                    </w:rPr>
                    <w:t>12</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九股树村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314</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63</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506060"/>
                    </w:rPr>
                    <w:t>13</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三川坝村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740</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40"/>
                  </w:pPr>
                  <w:r>
                    <w:rPr>
                      <w:rFonts w:ascii="仿宋_GB2312" w:hAnsi="仿宋_GB2312" w:cs="仿宋_GB2312" w:eastAsia="仿宋_GB2312"/>
                      <w:sz w:val="28"/>
                      <w:color w:val="000000"/>
                    </w:rPr>
                    <w:t>148</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000000"/>
                    </w:rPr>
                    <w:t>14</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仿宋_GB2312" w:hAnsi="仿宋_GB2312" w:cs="仿宋_GB2312" w:eastAsia="仿宋_GB2312"/>
                      <w:sz w:val="28"/>
                      <w:color w:val="000000"/>
                    </w:rPr>
                    <w:t>五龙洞村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101</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0"/>
                  </w:pPr>
                  <w:r>
                    <w:rPr>
                      <w:rFonts w:ascii="仿宋_GB2312" w:hAnsi="仿宋_GB2312" w:cs="仿宋_GB2312" w:eastAsia="仿宋_GB2312"/>
                      <w:sz w:val="28"/>
                      <w:color w:val="000000"/>
                    </w:rPr>
                    <w:t>20</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pPr>
                  <w:r>
                    <w:rPr>
                      <w:rFonts w:ascii="仿宋_GB2312" w:hAnsi="仿宋_GB2312" w:cs="仿宋_GB2312" w:eastAsia="仿宋_GB2312"/>
                      <w:sz w:val="28"/>
                      <w:color w:val="000000"/>
                    </w:rPr>
                    <w:t>15</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仿宋_GB2312" w:hAnsi="仿宋_GB2312" w:cs="仿宋_GB2312" w:eastAsia="仿宋_GB2312"/>
                      <w:sz w:val="28"/>
                      <w:color w:val="000000"/>
                    </w:rPr>
                    <w:t>下坝村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pPr>
                  <w:r>
                    <w:rPr>
                      <w:rFonts w:ascii="仿宋_GB2312" w:hAnsi="仿宋_GB2312" w:cs="仿宋_GB2312" w:eastAsia="仿宋_GB2312"/>
                      <w:sz w:val="28"/>
                      <w:color w:val="000000"/>
                    </w:rPr>
                    <w:t>603</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40"/>
                  </w:pPr>
                  <w:r>
                    <w:rPr>
                      <w:rFonts w:ascii="仿宋_GB2312" w:hAnsi="仿宋_GB2312" w:cs="仿宋_GB2312" w:eastAsia="仿宋_GB2312"/>
                      <w:sz w:val="28"/>
                      <w:color w:val="000000"/>
                    </w:rPr>
                    <w:t>121</w:t>
                  </w:r>
                </w:p>
              </w:tc>
            </w:tr>
            <w:tr>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pPr>
                  <w:r>
                    <w:rPr>
                      <w:rFonts w:ascii="仿宋_GB2312" w:hAnsi="仿宋_GB2312" w:cs="仿宋_GB2312" w:eastAsia="仿宋_GB2312"/>
                      <w:sz w:val="28"/>
                      <w:color w:val="000000"/>
                    </w:rPr>
                    <w:t>16</w:t>
                  </w:r>
                </w:p>
              </w:tc>
              <w:tc>
                <w:tcPr>
                  <w:tcW w:type="dxa" w:w="6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pPr>
                  <w:r>
                    <w:rPr>
                      <w:rFonts w:ascii="仿宋_GB2312" w:hAnsi="仿宋_GB2312" w:cs="仿宋_GB2312" w:eastAsia="仿宋_GB2312"/>
                      <w:sz w:val="28"/>
                      <w:color w:val="000000"/>
                    </w:rPr>
                    <w:t>中川坝村</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60"/>
                  </w:pPr>
                  <w:r>
                    <w:rPr>
                      <w:rFonts w:ascii="仿宋_GB2312" w:hAnsi="仿宋_GB2312" w:cs="仿宋_GB2312" w:eastAsia="仿宋_GB2312"/>
                      <w:sz w:val="28"/>
                      <w:color w:val="000000"/>
                    </w:rPr>
                    <w:t>186</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0"/>
                  </w:pPr>
                  <w:r>
                    <w:rPr>
                      <w:rFonts w:ascii="仿宋_GB2312" w:hAnsi="仿宋_GB2312" w:cs="仿宋_GB2312" w:eastAsia="仿宋_GB2312"/>
                      <w:sz w:val="28"/>
                      <w:color w:val="000000"/>
                    </w:rPr>
                    <w:t>37</w:t>
                  </w:r>
                </w:p>
              </w:tc>
            </w:tr>
            <w:tr>
              <w:tc>
                <w:tcPr>
                  <w:tcW w:type="dxa" w:w="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75"/>
                  </w:pPr>
                  <w:r>
                    <w:rPr>
                      <w:rFonts w:ascii="仿宋_GB2312" w:hAnsi="仿宋_GB2312" w:cs="仿宋_GB2312" w:eastAsia="仿宋_GB2312"/>
                      <w:sz w:val="28"/>
                      <w:b/>
                      <w:color w:val="000000"/>
                    </w:rPr>
                    <w:t>合</w:t>
                  </w:r>
                  <w:r>
                    <w:rPr>
                      <w:rFonts w:ascii="仿宋_GB2312" w:hAnsi="仿宋_GB2312" w:cs="仿宋_GB2312" w:eastAsia="仿宋_GB2312"/>
                    </w:rPr>
                    <w:t xml:space="preserve">  </w:t>
                  </w:r>
                  <w:r>
                    <w:rPr>
                      <w:rFonts w:ascii="仿宋_GB2312" w:hAnsi="仿宋_GB2312" w:cs="仿宋_GB2312" w:eastAsia="仿宋_GB2312"/>
                      <w:sz w:val="28"/>
                      <w:b/>
                      <w:color w:val="000000"/>
                    </w:rPr>
                    <w:t>计</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85"/>
                  </w:pPr>
                  <w:r>
                    <w:rPr>
                      <w:rFonts w:ascii="仿宋_GB2312" w:hAnsi="仿宋_GB2312" w:cs="仿宋_GB2312" w:eastAsia="仿宋_GB2312"/>
                      <w:sz w:val="28"/>
                      <w:b/>
                      <w:color w:val="000000"/>
                    </w:rPr>
                    <w:t>5000</w:t>
                  </w:r>
                </w:p>
              </w:tc>
              <w:tc>
                <w:tcPr>
                  <w:tcW w:type="dxa" w:w="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65"/>
                  </w:pPr>
                  <w:r>
                    <w:rPr>
                      <w:rFonts w:ascii="仿宋_GB2312" w:hAnsi="仿宋_GB2312" w:cs="仿宋_GB2312" w:eastAsia="仿宋_GB2312"/>
                      <w:sz w:val="28"/>
                      <w:b/>
                      <w:color w:val="000000"/>
                    </w:rPr>
                    <w:t>1000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由甲乙双方协商确定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交货地点后，由使用单位根据合同对货物的名称、品牌、规格、产地、数量进行检查；验收不合格的成交供应商，必须在接到通知后7个日历日内确保货物通过验收。如接到通知后7个日历日内验收仍不合格，采购人可提出索赔或取消其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质保期：180天（参数中有具体要求的，按参数要求提供质保），成交供应商承诺的质保时间超过谈判文件要求的，按其承诺时间质保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供应商需提供合法有效的统一社会信用代码营业执照（事业单位提供事业单位法人证书，自然人应提供身份证明文件）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应授权合法的人员参加谈判全过程</w:t>
            </w:r>
          </w:p>
        </w:tc>
        <w:tc>
          <w:tcPr>
            <w:tcW w:type="dxa" w:w="3322"/>
          </w:tcPr>
          <w:p>
            <w:pPr>
              <w:pStyle w:val="null3"/>
            </w:pPr>
            <w:r>
              <w:rPr>
                <w:rFonts w:ascii="仿宋_GB2312" w:hAnsi="仿宋_GB2312" w:cs="仿宋_GB2312" w:eastAsia="仿宋_GB2312"/>
              </w:rPr>
              <w:t>法定代表人直接参加投标的，须出具法定代表人身份证，法定代表人授权委托代表人参加投标的，须出具法定代表人授权委托书及授权代表人身份证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w:t>
            </w:r>
          </w:p>
        </w:tc>
        <w:tc>
          <w:tcPr>
            <w:tcW w:type="dxa" w:w="3322"/>
          </w:tcPr>
          <w:p>
            <w:pPr>
              <w:pStyle w:val="null3"/>
            </w:pPr>
            <w:r>
              <w:rPr>
                <w:rFonts w:ascii="仿宋_GB2312" w:hAnsi="仿宋_GB2312" w:cs="仿宋_GB2312" w:eastAsia="仿宋_GB2312"/>
              </w:rPr>
              <w:t>按照汉中市财政局《关于全面推行政府采购投标人基本资格条件承诺制的通知》(汉财办采管(2024)20号)文件要求，提供满足相应条件的资格承诺函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须提供所投产品的农业部门颁发的《肥料登记证》或提供农业农村部肥料备案信息系统、省级农业农村部门肥料备案信息系统的备案凭证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w:t>
            </w:r>
          </w:p>
        </w:tc>
        <w:tc>
          <w:tcPr>
            <w:tcW w:type="dxa" w:w="3322"/>
          </w:tcPr>
          <w:p>
            <w:pPr>
              <w:pStyle w:val="null3"/>
            </w:pPr>
            <w:r>
              <w:rPr>
                <w:rFonts w:ascii="仿宋_GB2312" w:hAnsi="仿宋_GB2312" w:cs="仿宋_GB2312" w:eastAsia="仿宋_GB2312"/>
              </w:rPr>
              <w:t>响应文件应按要求进行签章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所投产品及相关服务要求</w:t>
            </w:r>
          </w:p>
        </w:tc>
        <w:tc>
          <w:tcPr>
            <w:tcW w:type="dxa" w:w="3322"/>
          </w:tcPr>
          <w:p>
            <w:pPr>
              <w:pStyle w:val="null3"/>
            </w:pPr>
            <w:r>
              <w:rPr>
                <w:rFonts w:ascii="仿宋_GB2312" w:hAnsi="仿宋_GB2312" w:cs="仿宋_GB2312" w:eastAsia="仿宋_GB2312"/>
              </w:rPr>
              <w:t>满足谈判文件技术及商务要求</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