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版本号：ZTDJ-HZCG-2025120220251215001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黑河镇2025年中央财政农业生态资源保护资金(农作物秸秆综合利用)项目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ZTDJ-HZCG-20251202</w:t>
      </w:r>
      <w:r>
        <w:br/>
      </w:r>
      <w:r>
        <w:br/>
      </w:r>
      <w:r>
        <w:br/>
      </w:r>
    </w:p>
    <w:p>
      <w:pPr>
        <w:pStyle w:val="null3"/>
        <w:jc w:val="center"/>
        <w:outlineLvl w:val="2"/>
      </w:pPr>
      <w:r>
        <w:rPr>
          <w:rFonts w:ascii="仿宋_GB2312" w:hAnsi="仿宋_GB2312" w:cs="仿宋_GB2312" w:eastAsia="仿宋_GB2312"/>
          <w:sz w:val="28"/>
          <w:b/>
        </w:rPr>
        <w:t>略阳县黑河镇人民政府</w:t>
      </w:r>
    </w:p>
    <w:p>
      <w:pPr>
        <w:pStyle w:val="null3"/>
        <w:jc w:val="center"/>
        <w:outlineLvl w:val="2"/>
      </w:pPr>
      <w:r>
        <w:rPr>
          <w:rFonts w:ascii="仿宋_GB2312" w:hAnsi="仿宋_GB2312" w:cs="仿宋_GB2312" w:eastAsia="仿宋_GB2312"/>
          <w:sz w:val="28"/>
          <w:b/>
        </w:rPr>
        <w:t>中拓达建项目管理有限公司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中拓达建项目管理有限公司</w:t>
      </w:r>
      <w:r>
        <w:rPr>
          <w:rFonts w:ascii="仿宋_GB2312" w:hAnsi="仿宋_GB2312" w:cs="仿宋_GB2312" w:eastAsia="仿宋_GB2312"/>
        </w:rPr>
        <w:t>（以下简称“代理机构”）受</w:t>
      </w:r>
      <w:r>
        <w:rPr>
          <w:rFonts w:ascii="仿宋_GB2312" w:hAnsi="仿宋_GB2312" w:cs="仿宋_GB2312" w:eastAsia="仿宋_GB2312"/>
        </w:rPr>
        <w:t>略阳县黑河镇人民政府</w:t>
      </w:r>
      <w:r>
        <w:rPr>
          <w:rFonts w:ascii="仿宋_GB2312" w:hAnsi="仿宋_GB2312" w:cs="仿宋_GB2312" w:eastAsia="仿宋_GB2312"/>
        </w:rPr>
        <w:t>委托，拟对</w:t>
      </w:r>
      <w:r>
        <w:rPr>
          <w:rFonts w:ascii="仿宋_GB2312" w:hAnsi="仿宋_GB2312" w:cs="仿宋_GB2312" w:eastAsia="仿宋_GB2312"/>
        </w:rPr>
        <w:t>黑河镇2025年中央财政农业生态资源保护资金(农作物秸秆综合利用)项目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ZTDJ-HZCG-20251202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黑河镇2025年中央财政农业生态资源保护资金(农作物秸秆综合利用)项目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内容:购置一批农业机械设施设备；主要功能或目标:1、推进“农用优先”的秸秆综合利用；2、打造示范点，健全秸秆综合利用服务体系；3、实现秸秆饲料化高质高效综合利用，促进秸秆转化增值。需满足的要求:满足采购人需求，达到相关行业合格标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采购包1（黑河镇2025年中央财政农业生态资源保护资金(农作物秸秆综合利用)项目）：属于专门面向中小企业采购。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1、主体资格：具有独立承担民事责任能力的法人、其他组织或自然人，提供合法有效的统一社会 信用代码营业执照（事业单位提供事业单位法人证书，自然人提供身份证明）。</w:t>
      </w:r>
    </w:p>
    <w:p>
      <w:pPr>
        <w:pStyle w:val="null3"/>
      </w:pPr>
      <w:r>
        <w:rPr>
          <w:rFonts w:ascii="仿宋_GB2312" w:hAnsi="仿宋_GB2312" w:cs="仿宋_GB2312" w:eastAsia="仿宋_GB2312"/>
        </w:rPr>
        <w:t>2、法定代表人证明书：须出具法定代表人身份证并与营业执照上信息一致。</w:t>
      </w:r>
    </w:p>
    <w:p>
      <w:pPr>
        <w:pStyle w:val="null3"/>
      </w:pPr>
      <w:r>
        <w:rPr>
          <w:rFonts w:ascii="仿宋_GB2312" w:hAnsi="仿宋_GB2312" w:cs="仿宋_GB2312" w:eastAsia="仿宋_GB2312"/>
        </w:rPr>
        <w:t>3、其他要求：本项目不接受联合体投标，供应商需提供非联合体书面声明。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略阳县黑河镇人民政府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陕西省汉中市略阳县黑河镇五郎坪村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13630260660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中拓达建项目管理有限公司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汉中市汉台区海德理想城西门临街商铺二楼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郭凌云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15771668755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开户名称：中拓达建项目管理有限公司汉中分公司</w:t>
            </w:r>
          </w:p>
          <w:p>
            <w:pPr>
              <w:pStyle w:val="null3"/>
            </w:pPr>
            <w:r>
              <w:rPr>
                <w:rFonts w:ascii="仿宋_GB2312" w:hAnsi="仿宋_GB2312" w:cs="仿宋_GB2312" w:eastAsia="仿宋_GB2312"/>
              </w:rPr>
              <w:t>开户银行：中国建设银行股份有限公司汉中北团结街支行</w:t>
            </w:r>
          </w:p>
          <w:p>
            <w:pPr>
              <w:pStyle w:val="null3"/>
            </w:pPr>
            <w:r>
              <w:rPr>
                <w:rFonts w:ascii="仿宋_GB2312" w:hAnsi="仿宋_GB2312" w:cs="仿宋_GB2312" w:eastAsia="仿宋_GB2312"/>
              </w:rPr>
              <w:t>银行账号：61050165910000001072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 办法》和国家发展改革委办公厅（发改办价格【2003】857号）和国家发展改革委（发改价格 【2011】534号）文件的相关规定收取。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略阳县黑河镇人民政府</w:t>
      </w:r>
      <w:r>
        <w:rPr>
          <w:rFonts w:ascii="仿宋_GB2312" w:hAnsi="仿宋_GB2312" w:cs="仿宋_GB2312" w:eastAsia="仿宋_GB2312"/>
        </w:rPr>
        <w:t>和</w:t>
      </w:r>
      <w:r>
        <w:rPr>
          <w:rFonts w:ascii="仿宋_GB2312" w:hAnsi="仿宋_GB2312" w:cs="仿宋_GB2312" w:eastAsia="仿宋_GB2312"/>
        </w:rPr>
        <w:t>中拓达建项目管理有限公司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略阳县黑河镇人民政府</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中拓达建项目管理有限公司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略阳县黑河镇人民政府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中拓达建项目管理有限公司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满足采购人需求，达到相关行业合格标准。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联系人：郭凌云</w:t>
      </w:r>
    </w:p>
    <w:p>
      <w:pPr>
        <w:pStyle w:val="null3"/>
      </w:pPr>
      <w:r>
        <w:rPr>
          <w:rFonts w:ascii="仿宋_GB2312" w:hAnsi="仿宋_GB2312" w:cs="仿宋_GB2312" w:eastAsia="仿宋_GB2312"/>
        </w:rPr>
        <w:t>联系电话：15771668755</w:t>
      </w:r>
    </w:p>
    <w:p>
      <w:pPr>
        <w:pStyle w:val="null3"/>
      </w:pPr>
      <w:r>
        <w:rPr>
          <w:rFonts w:ascii="仿宋_GB2312" w:hAnsi="仿宋_GB2312" w:cs="仿宋_GB2312" w:eastAsia="仿宋_GB2312"/>
        </w:rPr>
        <w:t>地址：汉中市汉台区海德理想城西门临街商铺二楼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内容:购置一批农业机械设施设备；主要功能或目标:1、推进“农用优先”的秸秆综合利用；2、打造示范点，健全秸秆综合利用服务体系；3、实现秸秆饲料化高质高效综合利用，促进秸秆转化增值。需满足的要求:满足采购人需求，达到相关行业合格标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469,000.00</w:t>
      </w:r>
    </w:p>
    <w:p>
      <w:pPr>
        <w:pStyle w:val="null3"/>
      </w:pPr>
      <w:r>
        <w:rPr>
          <w:rFonts w:ascii="仿宋_GB2312" w:hAnsi="仿宋_GB2312" w:cs="仿宋_GB2312" w:eastAsia="仿宋_GB2312"/>
        </w:rPr>
        <w:t>采购包最高限价（元）: 469,000.00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全自动秸秆方形压 捆机及 托盘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青贮饲料粉碎覆膜机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农作物秸秆转运机械</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97,000.00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秸秆粉碎还田机及配套动力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油菜脱粒机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小型履带式收割机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标的名称：全自动秸秆方形压 捆机及 托盘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三缸秸秆压捆机配套动力：</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22</w:t>
            </w:r>
            <w:r>
              <w:rPr>
                <w:rFonts w:ascii="仿宋_GB2312" w:hAnsi="仿宋_GB2312" w:cs="仿宋_GB2312" w:eastAsia="仿宋_GB2312"/>
                <w:sz w:val="21"/>
              </w:rPr>
              <w:t>千瓦；</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生产率：</w:t>
            </w:r>
            <w:r>
              <w:rPr>
                <w:rFonts w:ascii="仿宋_GB2312" w:hAnsi="仿宋_GB2312" w:cs="仿宋_GB2312" w:eastAsia="仿宋_GB2312"/>
                <w:sz w:val="21"/>
              </w:rPr>
              <w:t>≥</w:t>
            </w:r>
            <w:r>
              <w:rPr>
                <w:rFonts w:ascii="仿宋_GB2312" w:hAnsi="仿宋_GB2312" w:cs="仿宋_GB2312" w:eastAsia="仿宋_GB2312"/>
                <w:sz w:val="21"/>
              </w:rPr>
              <w:t>60捆/h；</w:t>
            </w:r>
          </w:p>
          <w:p>
            <w:pPr>
              <w:pStyle w:val="null3"/>
              <w:jc w:val="left"/>
            </w:pPr>
            <w:r>
              <w:rPr>
                <w:rFonts w:ascii="仿宋_GB2312" w:hAnsi="仿宋_GB2312" w:cs="仿宋_GB2312" w:eastAsia="仿宋_GB2312"/>
                <w:sz w:val="21"/>
              </w:rPr>
              <w:t>草捆重量：</w:t>
            </w:r>
            <w:r>
              <w:rPr>
                <w:rFonts w:ascii="仿宋_GB2312" w:hAnsi="仿宋_GB2312" w:cs="仿宋_GB2312" w:eastAsia="仿宋_GB2312"/>
                <w:sz w:val="21"/>
              </w:rPr>
              <w:t>≤60kg；</w:t>
            </w:r>
          </w:p>
          <w:p>
            <w:pPr>
              <w:pStyle w:val="null3"/>
              <w:jc w:val="left"/>
            </w:pPr>
            <w:r>
              <w:rPr>
                <w:rFonts w:ascii="仿宋_GB2312" w:hAnsi="仿宋_GB2312" w:cs="仿宋_GB2312" w:eastAsia="仿宋_GB2312"/>
                <w:sz w:val="21"/>
              </w:rPr>
              <w:t>草捆密度</w:t>
            </w:r>
            <w:r>
              <w:rPr>
                <w:rFonts w:ascii="仿宋_GB2312" w:hAnsi="仿宋_GB2312" w:cs="仿宋_GB2312" w:eastAsia="仿宋_GB2312"/>
                <w:sz w:val="21"/>
              </w:rPr>
              <w:t>≥</w:t>
            </w:r>
            <w:r>
              <w:rPr>
                <w:rFonts w:ascii="仿宋_GB2312" w:hAnsi="仿宋_GB2312" w:cs="仿宋_GB2312" w:eastAsia="仿宋_GB2312"/>
                <w:sz w:val="21"/>
              </w:rPr>
              <w:t>100kg/m³；</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输送带长度：</w:t>
            </w:r>
            <w:r>
              <w:rPr>
                <w:rFonts w:ascii="仿宋_GB2312" w:hAnsi="仿宋_GB2312" w:cs="仿宋_GB2312" w:eastAsia="仿宋_GB2312"/>
                <w:sz w:val="21"/>
              </w:rPr>
              <w:t>≥</w:t>
            </w:r>
            <w:r>
              <w:rPr>
                <w:rFonts w:ascii="仿宋_GB2312" w:hAnsi="仿宋_GB2312" w:cs="仿宋_GB2312" w:eastAsia="仿宋_GB2312"/>
                <w:sz w:val="21"/>
              </w:rPr>
              <w:t>9米，宽度</w:t>
            </w:r>
            <w:r>
              <w:rPr>
                <w:rFonts w:ascii="仿宋_GB2312" w:hAnsi="仿宋_GB2312" w:cs="仿宋_GB2312" w:eastAsia="仿宋_GB2312"/>
                <w:sz w:val="21"/>
              </w:rPr>
              <w:t>≥</w:t>
            </w:r>
            <w:r>
              <w:rPr>
                <w:rFonts w:ascii="仿宋_GB2312" w:hAnsi="仿宋_GB2312" w:cs="仿宋_GB2312" w:eastAsia="仿宋_GB2312"/>
                <w:sz w:val="21"/>
              </w:rPr>
              <w:t>0.8米；</w:t>
            </w:r>
          </w:p>
          <w:p>
            <w:pPr>
              <w:pStyle w:val="null3"/>
              <w:jc w:val="left"/>
            </w:pPr>
            <w:r>
              <w:rPr>
                <w:rFonts w:ascii="仿宋_GB2312" w:hAnsi="仿宋_GB2312" w:cs="仿宋_GB2312" w:eastAsia="仿宋_GB2312"/>
                <w:sz w:val="21"/>
              </w:rPr>
              <w:t>输送带</w:t>
            </w:r>
            <w:r>
              <w:rPr>
                <w:rFonts w:ascii="仿宋_GB2312" w:hAnsi="仿宋_GB2312" w:cs="仿宋_GB2312" w:eastAsia="仿宋_GB2312"/>
                <w:sz w:val="21"/>
              </w:rPr>
              <w:t>动力</w:t>
            </w:r>
            <w:r>
              <w:rPr>
                <w:rFonts w:ascii="仿宋_GB2312" w:hAnsi="仿宋_GB2312" w:cs="仿宋_GB2312" w:eastAsia="仿宋_GB2312"/>
                <w:sz w:val="21"/>
              </w:rPr>
              <w:t>≥</w:t>
            </w:r>
            <w:r>
              <w:rPr>
                <w:rFonts w:ascii="仿宋_GB2312" w:hAnsi="仿宋_GB2312" w:cs="仿宋_GB2312" w:eastAsia="仿宋_GB2312"/>
                <w:sz w:val="21"/>
              </w:rPr>
              <w:t>3千瓦</w:t>
            </w:r>
            <w:r>
              <w:rPr>
                <w:rFonts w:ascii="仿宋_GB2312" w:hAnsi="仿宋_GB2312" w:cs="仿宋_GB2312" w:eastAsia="仿宋_GB2312"/>
                <w:sz w:val="21"/>
              </w:rPr>
              <w:t>；</w:t>
            </w:r>
          </w:p>
          <w:p>
            <w:pPr>
              <w:pStyle w:val="null3"/>
            </w:pPr>
            <w:r>
              <w:rPr>
                <w:rFonts w:ascii="仿宋_GB2312" w:hAnsi="仿宋_GB2312" w:cs="仿宋_GB2312" w:eastAsia="仿宋_GB2312"/>
                <w:sz w:val="21"/>
              </w:rPr>
              <w:t>存储托盘（</w:t>
            </w:r>
            <w:r>
              <w:rPr>
                <w:rFonts w:ascii="仿宋_GB2312" w:hAnsi="仿宋_GB2312" w:cs="仿宋_GB2312" w:eastAsia="仿宋_GB2312"/>
                <w:sz w:val="21"/>
              </w:rPr>
              <w:t>50个）规格尺寸：</w:t>
            </w:r>
            <w:r>
              <w:rPr>
                <w:rFonts w:ascii="仿宋_GB2312" w:hAnsi="仿宋_GB2312" w:cs="仿宋_GB2312" w:eastAsia="仿宋_GB2312"/>
                <w:sz w:val="21"/>
              </w:rPr>
              <w:t>≥</w:t>
            </w:r>
            <w:r>
              <w:rPr>
                <w:rFonts w:ascii="仿宋_GB2312" w:hAnsi="仿宋_GB2312" w:cs="仿宋_GB2312" w:eastAsia="仿宋_GB2312"/>
                <w:sz w:val="21"/>
              </w:rPr>
              <w:t>1.2m*1m；托盘材质：金属材质；</w:t>
            </w:r>
          </w:p>
        </w:tc>
      </w:tr>
    </w:tbl>
    <w:p>
      <w:pPr>
        <w:pStyle w:val="null3"/>
      </w:pPr>
      <w:r>
        <w:rPr>
          <w:rFonts w:ascii="仿宋_GB2312" w:hAnsi="仿宋_GB2312" w:cs="仿宋_GB2312" w:eastAsia="仿宋_GB2312"/>
        </w:rPr>
        <w:t>标的名称：青贮饲料粉碎覆膜机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75"/>
              <w:ind w:right="45"/>
              <w:jc w:val="left"/>
            </w:pPr>
            <w:r>
              <w:rPr>
                <w:rFonts w:ascii="仿宋_GB2312" w:hAnsi="仿宋_GB2312" w:cs="仿宋_GB2312" w:eastAsia="仿宋_GB2312"/>
                <w:sz w:val="21"/>
              </w:rPr>
              <w:t>圆捆机电机功率</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.5KW；</w:t>
            </w:r>
            <w:r>
              <w:rPr>
                <w:rFonts w:ascii="仿宋_GB2312" w:hAnsi="仿宋_GB2312" w:cs="仿宋_GB2312" w:eastAsia="仿宋_GB2312"/>
                <w:sz w:val="21"/>
              </w:rPr>
              <w:t>★</w:t>
            </w:r>
          </w:p>
          <w:p>
            <w:pPr>
              <w:pStyle w:val="null3"/>
              <w:spacing w:before="75"/>
              <w:ind w:right="45"/>
              <w:jc w:val="left"/>
            </w:pPr>
            <w:r>
              <w:rPr>
                <w:rFonts w:ascii="仿宋_GB2312" w:hAnsi="仿宋_GB2312" w:cs="仿宋_GB2312" w:eastAsia="仿宋_GB2312"/>
                <w:sz w:val="21"/>
              </w:rPr>
              <w:t>工作效率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50捆</w:t>
            </w:r>
            <w:r>
              <w:rPr>
                <w:rFonts w:ascii="仿宋_GB2312" w:hAnsi="仿宋_GB2312" w:cs="仿宋_GB2312" w:eastAsia="仿宋_GB2312"/>
                <w:sz w:val="21"/>
              </w:rPr>
              <w:t>/h</w:t>
            </w:r>
            <w:r>
              <w:rPr>
                <w:rFonts w:ascii="仿宋_GB2312" w:hAnsi="仿宋_GB2312" w:cs="仿宋_GB2312" w:eastAsia="仿宋_GB2312"/>
                <w:sz w:val="21"/>
              </w:rPr>
              <w:t>；</w:t>
            </w:r>
          </w:p>
          <w:p>
            <w:pPr>
              <w:pStyle w:val="null3"/>
              <w:spacing w:before="75"/>
              <w:ind w:right="45"/>
              <w:jc w:val="left"/>
            </w:pPr>
            <w:r>
              <w:rPr>
                <w:rFonts w:ascii="仿宋_GB2312" w:hAnsi="仿宋_GB2312" w:cs="仿宋_GB2312" w:eastAsia="仿宋_GB2312"/>
                <w:sz w:val="21"/>
              </w:rPr>
              <w:t>包膜层：</w:t>
            </w:r>
            <w:r>
              <w:rPr>
                <w:rFonts w:ascii="仿宋_GB2312" w:hAnsi="仿宋_GB2312" w:cs="仿宋_GB2312" w:eastAsia="仿宋_GB2312"/>
                <w:sz w:val="21"/>
              </w:rPr>
              <w:t>≥</w:t>
            </w:r>
            <w:r>
              <w:rPr>
                <w:rFonts w:ascii="仿宋_GB2312" w:hAnsi="仿宋_GB2312" w:cs="仿宋_GB2312" w:eastAsia="仿宋_GB2312"/>
                <w:sz w:val="21"/>
              </w:rPr>
              <w:t>2层；</w:t>
            </w:r>
          </w:p>
          <w:p>
            <w:pPr>
              <w:pStyle w:val="null3"/>
              <w:spacing w:before="75"/>
              <w:ind w:right="45"/>
              <w:jc w:val="left"/>
            </w:pPr>
            <w:r>
              <w:rPr>
                <w:rFonts w:ascii="仿宋_GB2312" w:hAnsi="仿宋_GB2312" w:cs="仿宋_GB2312" w:eastAsia="仿宋_GB2312"/>
                <w:sz w:val="21"/>
                <w:color w:val="000000"/>
              </w:rPr>
              <w:t>配套揉丝机动力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5KW，输送动力</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w:t>
            </w:r>
            <w:r>
              <w:rPr>
                <w:rFonts w:ascii="仿宋_GB2312" w:hAnsi="仿宋_GB2312" w:cs="仿宋_GB2312" w:eastAsia="仿宋_GB2312"/>
                <w:sz w:val="21"/>
                <w:color w:val="000000"/>
              </w:rPr>
              <w:t>.5KW;</w:t>
            </w:r>
            <w:r>
              <w:rPr>
                <w:rFonts w:ascii="仿宋_GB2312" w:hAnsi="仿宋_GB2312" w:cs="仿宋_GB2312" w:eastAsia="仿宋_GB2312"/>
                <w:sz w:val="21"/>
              </w:rPr>
              <w:t>★</w:t>
            </w:r>
          </w:p>
          <w:p>
            <w:pPr>
              <w:pStyle w:val="null3"/>
              <w:spacing w:before="75"/>
              <w:ind w:right="45"/>
              <w:jc w:val="left"/>
            </w:pPr>
            <w:r>
              <w:rPr>
                <w:rFonts w:ascii="仿宋_GB2312" w:hAnsi="仿宋_GB2312" w:cs="仿宋_GB2312" w:eastAsia="仿宋_GB2312"/>
                <w:sz w:val="21"/>
              </w:rPr>
              <w:t>分料箱容积：</w:t>
            </w:r>
            <w:r>
              <w:rPr>
                <w:rFonts w:ascii="仿宋_GB2312" w:hAnsi="仿宋_GB2312" w:cs="仿宋_GB2312" w:eastAsia="仿宋_GB2312"/>
                <w:sz w:val="21"/>
              </w:rPr>
              <w:t>≥</w:t>
            </w:r>
            <w:r>
              <w:rPr>
                <w:rFonts w:ascii="仿宋_GB2312" w:hAnsi="仿宋_GB2312" w:cs="仿宋_GB2312" w:eastAsia="仿宋_GB2312"/>
                <w:sz w:val="21"/>
              </w:rPr>
              <w:t>5m³；</w:t>
            </w:r>
          </w:p>
          <w:p>
            <w:pPr>
              <w:pStyle w:val="null3"/>
            </w:pPr>
            <w:r>
              <w:rPr>
                <w:rFonts w:ascii="仿宋_GB2312" w:hAnsi="仿宋_GB2312" w:cs="仿宋_GB2312" w:eastAsia="仿宋_GB2312"/>
                <w:sz w:val="21"/>
              </w:rPr>
              <w:t>分料箱</w:t>
            </w:r>
            <w:r>
              <w:rPr>
                <w:rFonts w:ascii="仿宋_GB2312" w:hAnsi="仿宋_GB2312" w:cs="仿宋_GB2312" w:eastAsia="仿宋_GB2312"/>
                <w:sz w:val="21"/>
              </w:rPr>
              <w:t>动力：</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2.2</w:t>
            </w:r>
            <w:r>
              <w:rPr>
                <w:rFonts w:ascii="仿宋_GB2312" w:hAnsi="仿宋_GB2312" w:cs="仿宋_GB2312" w:eastAsia="仿宋_GB2312"/>
                <w:sz w:val="21"/>
              </w:rPr>
              <w:t>KW。</w:t>
            </w:r>
          </w:p>
        </w:tc>
      </w:tr>
    </w:tbl>
    <w:p>
      <w:pPr>
        <w:pStyle w:val="null3"/>
      </w:pPr>
      <w:r>
        <w:rPr>
          <w:rFonts w:ascii="仿宋_GB2312" w:hAnsi="仿宋_GB2312" w:cs="仿宋_GB2312" w:eastAsia="仿宋_GB2312"/>
        </w:rPr>
        <w:t>标的名称：农作物秸秆转运机械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功率：</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18</w:t>
            </w:r>
            <w:r>
              <w:rPr>
                <w:rFonts w:ascii="仿宋_GB2312" w:hAnsi="仿宋_GB2312" w:cs="仿宋_GB2312" w:eastAsia="仿宋_GB2312"/>
                <w:sz w:val="21"/>
                <w:color w:val="000000"/>
              </w:rPr>
              <w:t>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排放标准：</w:t>
            </w:r>
            <w:r>
              <w:rPr>
                <w:rFonts w:ascii="仿宋_GB2312" w:hAnsi="仿宋_GB2312" w:cs="仿宋_GB2312" w:eastAsia="仿宋_GB2312"/>
                <w:sz w:val="21"/>
                <w:color w:val="000000"/>
              </w:rPr>
              <w:t>≥国四标准；</w:t>
            </w:r>
          </w:p>
          <w:p>
            <w:pPr>
              <w:pStyle w:val="null3"/>
              <w:jc w:val="left"/>
            </w:pPr>
            <w:r>
              <w:rPr>
                <w:rFonts w:ascii="仿宋_GB2312" w:hAnsi="仿宋_GB2312" w:cs="仿宋_GB2312" w:eastAsia="仿宋_GB2312"/>
                <w:sz w:val="21"/>
                <w:color w:val="000000"/>
              </w:rPr>
              <w:t>内燃机</w:t>
            </w:r>
            <w:r>
              <w:rPr>
                <w:rFonts w:ascii="仿宋_GB2312" w:hAnsi="仿宋_GB2312" w:cs="仿宋_GB2312" w:eastAsia="仿宋_GB2312"/>
                <w:sz w:val="21"/>
                <w:color w:val="000000"/>
              </w:rPr>
              <w:t>种类：柴油；</w:t>
            </w:r>
          </w:p>
          <w:p>
            <w:pPr>
              <w:pStyle w:val="null3"/>
              <w:jc w:val="left"/>
            </w:pPr>
            <w:r>
              <w:rPr>
                <w:rFonts w:ascii="仿宋_GB2312" w:hAnsi="仿宋_GB2312" w:cs="仿宋_GB2312" w:eastAsia="仿宋_GB2312"/>
                <w:sz w:val="21"/>
                <w:color w:val="000000"/>
              </w:rPr>
              <w:t>前进档位数：</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倒退档位数：</w:t>
            </w:r>
            <w:r>
              <w:rPr>
                <w:rFonts w:ascii="仿宋_GB2312" w:hAnsi="仿宋_GB2312" w:cs="仿宋_GB2312" w:eastAsia="仿宋_GB2312"/>
                <w:sz w:val="21"/>
                <w:color w:val="000000"/>
              </w:rPr>
              <w:t>≥2；</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后车厢尺寸：</w:t>
            </w:r>
            <w:r>
              <w:rPr>
                <w:rFonts w:ascii="仿宋_GB2312" w:hAnsi="仿宋_GB2312" w:cs="仿宋_GB2312" w:eastAsia="仿宋_GB2312"/>
                <w:sz w:val="21"/>
                <w:color w:val="000000"/>
              </w:rPr>
              <w:t>≥2500*1200*1000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带驱动；</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挂车载质量</w:t>
            </w:r>
            <w:r>
              <w:rPr>
                <w:rFonts w:ascii="仿宋_GB2312" w:hAnsi="仿宋_GB2312" w:cs="仿宋_GB2312" w:eastAsia="仿宋_GB2312"/>
                <w:sz w:val="21"/>
                <w:color w:val="000000"/>
              </w:rPr>
              <w:t>≥2000KG；</w:t>
            </w:r>
            <w:r>
              <w:rPr>
                <w:rFonts w:ascii="仿宋_GB2312" w:hAnsi="仿宋_GB2312" w:cs="仿宋_GB2312" w:eastAsia="仿宋_GB2312"/>
                <w:sz w:val="21"/>
              </w:rPr>
              <w:t>★</w:t>
            </w:r>
          </w:p>
          <w:p>
            <w:pPr>
              <w:pStyle w:val="null3"/>
            </w:pPr>
            <w:r>
              <w:rPr>
                <w:rFonts w:ascii="仿宋_GB2312" w:hAnsi="仿宋_GB2312" w:cs="仿宋_GB2312" w:eastAsia="仿宋_GB2312"/>
                <w:sz w:val="21"/>
                <w:color w:val="000000"/>
              </w:rPr>
              <w:t>装卸方式：</w:t>
            </w:r>
            <w:r>
              <w:rPr>
                <w:rFonts w:ascii="仿宋_GB2312" w:hAnsi="仿宋_GB2312" w:cs="仿宋_GB2312" w:eastAsia="仿宋_GB2312"/>
                <w:sz w:val="21"/>
                <w:color w:val="000000"/>
              </w:rPr>
              <w:t>自卸；</w:t>
            </w:r>
          </w:p>
        </w:tc>
      </w:tr>
    </w:tbl>
    <w:p>
      <w:pPr>
        <w:pStyle w:val="null3"/>
      </w:pPr>
      <w:r>
        <w:rPr>
          <w:rFonts w:ascii="仿宋_GB2312" w:hAnsi="仿宋_GB2312" w:cs="仿宋_GB2312" w:eastAsia="仿宋_GB2312"/>
        </w:rPr>
        <w:t>标的名称：秸秆粉碎还田机及配套动力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秸秆粉碎还田机</w:t>
            </w:r>
            <w:r>
              <w:rPr>
                <w:rFonts w:ascii="仿宋_GB2312" w:hAnsi="仿宋_GB2312" w:cs="仿宋_GB2312" w:eastAsia="仿宋_GB2312"/>
                <w:sz w:val="21"/>
                <w:color w:val="000000"/>
              </w:rPr>
              <w:t>动力：</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36kw；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驱动方式：</w:t>
            </w:r>
            <w:r>
              <w:rPr>
                <w:rFonts w:ascii="仿宋_GB2312" w:hAnsi="仿宋_GB2312" w:cs="仿宋_GB2312" w:eastAsia="仿宋_GB2312"/>
                <w:sz w:val="21"/>
                <w:color w:val="000000"/>
              </w:rPr>
              <w:t>四驱；</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排放标准：</w:t>
            </w:r>
            <w:r>
              <w:rPr>
                <w:rFonts w:ascii="仿宋_GB2312" w:hAnsi="仿宋_GB2312" w:cs="仿宋_GB2312" w:eastAsia="仿宋_GB2312"/>
                <w:sz w:val="21"/>
                <w:color w:val="000000"/>
              </w:rPr>
              <w:t>≥</w:t>
            </w:r>
            <w:r>
              <w:rPr>
                <w:rFonts w:ascii="仿宋_GB2312" w:hAnsi="仿宋_GB2312" w:cs="仿宋_GB2312" w:eastAsia="仿宋_GB2312"/>
                <w:sz w:val="21"/>
                <w:color w:val="000000"/>
              </w:rPr>
              <w:t>国四标准；</w:t>
            </w:r>
          </w:p>
          <w:p>
            <w:pPr>
              <w:pStyle w:val="null3"/>
              <w:jc w:val="left"/>
            </w:pPr>
            <w:r>
              <w:rPr>
                <w:rFonts w:ascii="仿宋_GB2312" w:hAnsi="仿宋_GB2312" w:cs="仿宋_GB2312" w:eastAsia="仿宋_GB2312"/>
                <w:sz w:val="21"/>
                <w:color w:val="000000"/>
              </w:rPr>
              <w:t>液压输出：</w:t>
            </w:r>
            <w:r>
              <w:rPr>
                <w:rFonts w:ascii="仿宋_GB2312" w:hAnsi="仿宋_GB2312" w:cs="仿宋_GB2312" w:eastAsia="仿宋_GB2312"/>
                <w:sz w:val="21"/>
                <w:color w:val="000000"/>
              </w:rPr>
              <w:t>≥</w:t>
            </w:r>
            <w:r>
              <w:rPr>
                <w:rFonts w:ascii="仿宋_GB2312" w:hAnsi="仿宋_GB2312" w:cs="仿宋_GB2312" w:eastAsia="仿宋_GB2312"/>
                <w:sz w:val="21"/>
                <w:color w:val="000000"/>
              </w:rPr>
              <w:t>两组；</w:t>
            </w:r>
          </w:p>
          <w:p>
            <w:pPr>
              <w:pStyle w:val="null3"/>
              <w:jc w:val="left"/>
            </w:pPr>
            <w:r>
              <w:rPr>
                <w:rFonts w:ascii="仿宋_GB2312" w:hAnsi="仿宋_GB2312" w:cs="仿宋_GB2312" w:eastAsia="仿宋_GB2312"/>
                <w:sz w:val="21"/>
                <w:color w:val="000000"/>
              </w:rPr>
              <w:t>配带遮阳棚及定位终端；</w:t>
            </w:r>
          </w:p>
          <w:p>
            <w:pPr>
              <w:pStyle w:val="null3"/>
              <w:jc w:val="left"/>
            </w:pPr>
            <w:r>
              <w:rPr>
                <w:rFonts w:ascii="仿宋_GB2312" w:hAnsi="仿宋_GB2312" w:cs="仿宋_GB2312" w:eastAsia="仿宋_GB2312"/>
                <w:sz w:val="21"/>
                <w:color w:val="000000"/>
              </w:rPr>
              <w:t>动力输出转速</w:t>
            </w:r>
            <w:r>
              <w:rPr>
                <w:rFonts w:ascii="仿宋_GB2312" w:hAnsi="仿宋_GB2312" w:cs="仿宋_GB2312" w:eastAsia="仿宋_GB2312"/>
                <w:sz w:val="21"/>
                <w:color w:val="000000"/>
              </w:rPr>
              <w:t>(r/min)：</w:t>
            </w:r>
            <w:r>
              <w:rPr>
                <w:rFonts w:ascii="仿宋_GB2312" w:hAnsi="仿宋_GB2312" w:cs="仿宋_GB2312" w:eastAsia="仿宋_GB2312"/>
                <w:sz w:val="21"/>
                <w:color w:val="000000"/>
              </w:rPr>
              <w:t>≥</w:t>
            </w:r>
            <w:r>
              <w:rPr>
                <w:rFonts w:ascii="仿宋_GB2312" w:hAnsi="仿宋_GB2312" w:cs="仿宋_GB2312" w:eastAsia="仿宋_GB2312"/>
                <w:sz w:val="21"/>
                <w:color w:val="000000"/>
              </w:rPr>
              <w:t>540；</w:t>
            </w:r>
          </w:p>
          <w:p>
            <w:pPr>
              <w:pStyle w:val="null3"/>
              <w:jc w:val="left"/>
            </w:pPr>
            <w:r>
              <w:rPr>
                <w:rFonts w:ascii="仿宋_GB2312" w:hAnsi="仿宋_GB2312" w:cs="仿宋_GB2312" w:eastAsia="仿宋_GB2312"/>
                <w:sz w:val="21"/>
                <w:color w:val="000000"/>
              </w:rPr>
              <w:t>排挡数：</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p>
          <w:p>
            <w:pPr>
              <w:pStyle w:val="null3"/>
              <w:jc w:val="left"/>
            </w:pPr>
            <w:r>
              <w:rPr>
                <w:rFonts w:ascii="仿宋_GB2312" w:hAnsi="仿宋_GB2312" w:cs="仿宋_GB2312" w:eastAsia="仿宋_GB2312"/>
                <w:sz w:val="21"/>
                <w:color w:val="000000"/>
              </w:rPr>
              <w:t>作业幅宽：</w:t>
            </w:r>
            <w:r>
              <w:rPr>
                <w:rFonts w:ascii="仿宋_GB2312" w:hAnsi="仿宋_GB2312" w:cs="仿宋_GB2312" w:eastAsia="仿宋_GB2312"/>
                <w:sz w:val="21"/>
                <w:color w:val="000000"/>
              </w:rPr>
              <w:t>≥</w:t>
            </w:r>
            <w:r>
              <w:rPr>
                <w:rFonts w:ascii="仿宋_GB2312" w:hAnsi="仿宋_GB2312" w:cs="仿宋_GB2312" w:eastAsia="仿宋_GB2312"/>
                <w:sz w:val="21"/>
                <w:color w:val="000000"/>
              </w:rPr>
              <w:t>130cm；</w:t>
            </w:r>
          </w:p>
          <w:p>
            <w:pPr>
              <w:pStyle w:val="null3"/>
            </w:pPr>
            <w:r>
              <w:rPr>
                <w:rFonts w:ascii="仿宋_GB2312" w:hAnsi="仿宋_GB2312" w:cs="仿宋_GB2312" w:eastAsia="仿宋_GB2312"/>
                <w:sz w:val="21"/>
                <w:color w:val="000000"/>
              </w:rPr>
              <w:t>刀片数量：弯刀</w:t>
            </w:r>
            <w:r>
              <w:rPr>
                <w:rFonts w:ascii="仿宋_GB2312" w:hAnsi="仿宋_GB2312" w:cs="仿宋_GB2312" w:eastAsia="仿宋_GB2312"/>
                <w:sz w:val="21"/>
                <w:color w:val="000000"/>
              </w:rPr>
              <w:t>≥</w:t>
            </w:r>
            <w:r>
              <w:rPr>
                <w:rFonts w:ascii="仿宋_GB2312" w:hAnsi="仿宋_GB2312" w:cs="仿宋_GB2312" w:eastAsia="仿宋_GB2312"/>
                <w:sz w:val="21"/>
                <w:color w:val="000000"/>
              </w:rPr>
              <w:t>52、直刀</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26。    </w:t>
            </w:r>
          </w:p>
        </w:tc>
      </w:tr>
    </w:tbl>
    <w:p>
      <w:pPr>
        <w:pStyle w:val="null3"/>
      </w:pPr>
      <w:r>
        <w:rPr>
          <w:rFonts w:ascii="仿宋_GB2312" w:hAnsi="仿宋_GB2312" w:cs="仿宋_GB2312" w:eastAsia="仿宋_GB2312"/>
        </w:rPr>
        <w:t>标的名称：油菜脱粒机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动力型式：内燃</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动力功率：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4.0</w:t>
            </w:r>
            <w:r>
              <w:rPr>
                <w:rFonts w:ascii="仿宋_GB2312" w:hAnsi="仿宋_GB2312" w:cs="仿宋_GB2312" w:eastAsia="仿宋_GB2312"/>
                <w:sz w:val="21"/>
                <w:color w:val="000000"/>
              </w:rPr>
              <w:t>kW;</w:t>
            </w:r>
          </w:p>
          <w:p>
            <w:pPr>
              <w:pStyle w:val="null3"/>
              <w:jc w:val="left"/>
            </w:pPr>
            <w:r>
              <w:rPr>
                <w:rFonts w:ascii="仿宋_GB2312" w:hAnsi="仿宋_GB2312" w:cs="仿宋_GB2312" w:eastAsia="仿宋_GB2312"/>
                <w:sz w:val="21"/>
                <w:color w:val="000000"/>
              </w:rPr>
              <w:t>配套动力转速：</w:t>
            </w:r>
            <w:r>
              <w:rPr>
                <w:rFonts w:ascii="仿宋_GB2312" w:hAnsi="仿宋_GB2312" w:cs="仿宋_GB2312" w:eastAsia="仿宋_GB2312"/>
                <w:sz w:val="21"/>
                <w:color w:val="000000"/>
              </w:rPr>
              <w:t>≥</w:t>
            </w:r>
            <w:r>
              <w:rPr>
                <w:rFonts w:ascii="仿宋_GB2312" w:hAnsi="仿宋_GB2312" w:cs="仿宋_GB2312" w:eastAsia="仿宋_GB2312"/>
                <w:sz w:val="21"/>
                <w:color w:val="000000"/>
              </w:rPr>
              <w:t>3600</w:t>
            </w:r>
            <w:r>
              <w:rPr>
                <w:rFonts w:ascii="仿宋_GB2312" w:hAnsi="仿宋_GB2312" w:cs="仿宋_GB2312" w:eastAsia="仿宋_GB2312"/>
                <w:sz w:val="21"/>
                <w:color w:val="000000"/>
              </w:rPr>
              <w:t>r/min;</w:t>
            </w:r>
          </w:p>
          <w:p>
            <w:pPr>
              <w:pStyle w:val="null3"/>
            </w:pPr>
            <w:r>
              <w:rPr>
                <w:rFonts w:ascii="仿宋_GB2312" w:hAnsi="仿宋_GB2312" w:cs="仿宋_GB2312" w:eastAsia="仿宋_GB2312"/>
                <w:sz w:val="21"/>
                <w:color w:val="000000"/>
              </w:rPr>
              <w:t>滚筒数量：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p>
        </w:tc>
      </w:tr>
    </w:tbl>
    <w:p>
      <w:pPr>
        <w:pStyle w:val="null3"/>
      </w:pPr>
      <w:r>
        <w:rPr>
          <w:rFonts w:ascii="仿宋_GB2312" w:hAnsi="仿宋_GB2312" w:cs="仿宋_GB2312" w:eastAsia="仿宋_GB2312"/>
        </w:rPr>
        <w:t>标的名称：小型履带式收割机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结构方式：</w:t>
            </w:r>
            <w:r>
              <w:rPr>
                <w:rFonts w:ascii="仿宋_GB2312" w:hAnsi="仿宋_GB2312" w:cs="仿宋_GB2312" w:eastAsia="仿宋_GB2312"/>
                <w:sz w:val="21"/>
                <w:color w:val="000000"/>
              </w:rPr>
              <w:t>履带</w:t>
            </w:r>
            <w:r>
              <w:rPr>
                <w:rFonts w:ascii="仿宋_GB2312" w:hAnsi="仿宋_GB2312" w:cs="仿宋_GB2312" w:eastAsia="仿宋_GB2312"/>
                <w:sz w:val="21"/>
                <w:color w:val="000000"/>
              </w:rPr>
              <w:t>乘坐</w:t>
            </w:r>
            <w:r>
              <w:rPr>
                <w:rFonts w:ascii="仿宋_GB2312" w:hAnsi="仿宋_GB2312" w:cs="仿宋_GB2312" w:eastAsia="仿宋_GB2312"/>
                <w:sz w:val="21"/>
                <w:color w:val="000000"/>
              </w:rPr>
              <w:t>式；</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割台工作宽度：</w:t>
            </w:r>
            <w:r>
              <w:rPr>
                <w:rFonts w:ascii="仿宋_GB2312" w:hAnsi="仿宋_GB2312" w:cs="仿宋_GB2312" w:eastAsia="仿宋_GB2312"/>
                <w:sz w:val="21"/>
                <w:color w:val="000000"/>
              </w:rPr>
              <w:t>≥</w:t>
            </w:r>
            <w:r>
              <w:rPr>
                <w:rFonts w:ascii="仿宋_GB2312" w:hAnsi="仿宋_GB2312" w:cs="仿宋_GB2312" w:eastAsia="仿宋_GB2312"/>
                <w:sz w:val="21"/>
              </w:rPr>
              <w:t xml:space="preserve"> </w:t>
            </w:r>
            <w:r>
              <w:rPr>
                <w:rFonts w:ascii="仿宋_GB2312" w:hAnsi="仿宋_GB2312" w:cs="仿宋_GB2312" w:eastAsia="仿宋_GB2312"/>
                <w:sz w:val="21"/>
                <w:color w:val="000000"/>
              </w:rPr>
              <w:t>1200mm；</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最小离地间隙：</w:t>
            </w:r>
            <w:r>
              <w:rPr>
                <w:rFonts w:ascii="仿宋_GB2312" w:hAnsi="仿宋_GB2312" w:cs="仿宋_GB2312" w:eastAsia="仿宋_GB2312"/>
                <w:sz w:val="21"/>
                <w:color w:val="000000"/>
              </w:rPr>
              <w:t>≥</w:t>
            </w:r>
            <w:r>
              <w:rPr>
                <w:rFonts w:ascii="仿宋_GB2312" w:hAnsi="仿宋_GB2312" w:cs="仿宋_GB2312" w:eastAsia="仿宋_GB2312"/>
                <w:sz w:val="21"/>
                <w:color w:val="000000"/>
              </w:rPr>
              <w:t>180mm；</w:t>
            </w:r>
          </w:p>
          <w:p>
            <w:pPr>
              <w:pStyle w:val="null3"/>
              <w:jc w:val="left"/>
            </w:pPr>
            <w:r>
              <w:rPr>
                <w:rFonts w:ascii="仿宋_GB2312" w:hAnsi="仿宋_GB2312" w:cs="仿宋_GB2312" w:eastAsia="仿宋_GB2312"/>
                <w:sz w:val="21"/>
                <w:color w:val="000000"/>
              </w:rPr>
              <w:t>额定喂入：</w:t>
            </w:r>
            <w:r>
              <w:rPr>
                <w:rFonts w:ascii="仿宋_GB2312" w:hAnsi="仿宋_GB2312" w:cs="仿宋_GB2312" w:eastAsia="仿宋_GB2312"/>
                <w:sz w:val="21"/>
                <w:color w:val="000000"/>
              </w:rPr>
              <w:t>≥</w:t>
            </w:r>
            <w:r>
              <w:rPr>
                <w:rFonts w:ascii="仿宋_GB2312" w:hAnsi="仿宋_GB2312" w:cs="仿宋_GB2312" w:eastAsia="仿宋_GB2312"/>
                <w:sz w:val="21"/>
                <w:color w:val="000000"/>
              </w:rPr>
              <w:t>1.0kg/s;</w:t>
            </w:r>
          </w:p>
          <w:p>
            <w:pPr>
              <w:pStyle w:val="null3"/>
              <w:jc w:val="left"/>
            </w:pPr>
            <w:r>
              <w:rPr>
                <w:rFonts w:ascii="仿宋_GB2312" w:hAnsi="仿宋_GB2312" w:cs="仿宋_GB2312" w:eastAsia="仿宋_GB2312"/>
                <w:sz w:val="21"/>
                <w:color w:val="000000"/>
              </w:rPr>
              <w:t>作业速度：</w:t>
            </w:r>
            <w:r>
              <w:rPr>
                <w:rFonts w:ascii="仿宋_GB2312" w:hAnsi="仿宋_GB2312" w:cs="仿宋_GB2312" w:eastAsia="仿宋_GB2312"/>
                <w:sz w:val="21"/>
                <w:color w:val="000000"/>
              </w:rPr>
              <w:t>≥0.4m/s；</w:t>
            </w:r>
          </w:p>
          <w:p>
            <w:pPr>
              <w:pStyle w:val="null3"/>
              <w:jc w:val="left"/>
            </w:pPr>
            <w:r>
              <w:rPr>
                <w:rFonts w:ascii="仿宋_GB2312" w:hAnsi="仿宋_GB2312" w:cs="仿宋_GB2312" w:eastAsia="仿宋_GB2312"/>
                <w:sz w:val="21"/>
                <w:color w:val="000000"/>
              </w:rPr>
              <w:t>作业小时生产率：</w:t>
            </w:r>
            <w:r>
              <w:rPr>
                <w:rFonts w:ascii="仿宋_GB2312" w:hAnsi="仿宋_GB2312" w:cs="仿宋_GB2312" w:eastAsia="仿宋_GB2312"/>
                <w:sz w:val="21"/>
                <w:color w:val="000000"/>
              </w:rPr>
              <w:t>≥0.06</w:t>
            </w:r>
            <w:r>
              <w:rPr>
                <w:rFonts w:ascii="仿宋_GB2312" w:hAnsi="仿宋_GB2312" w:cs="仿宋_GB2312" w:eastAsia="仿宋_GB2312"/>
                <w:sz w:val="21"/>
              </w:rPr>
              <w:t xml:space="preserve"> </w:t>
            </w:r>
            <w:r>
              <w:rPr>
                <w:rFonts w:ascii="仿宋_GB2312" w:hAnsi="仿宋_GB2312" w:cs="仿宋_GB2312" w:eastAsia="仿宋_GB2312"/>
                <w:sz w:val="21"/>
                <w:color w:val="000000"/>
              </w:rPr>
              <w:t>h㎡/h；</w:t>
            </w:r>
          </w:p>
          <w:p>
            <w:pPr>
              <w:pStyle w:val="null3"/>
              <w:jc w:val="left"/>
            </w:pPr>
            <w:r>
              <w:rPr>
                <w:rFonts w:ascii="仿宋_GB2312" w:hAnsi="仿宋_GB2312" w:cs="仿宋_GB2312" w:eastAsia="仿宋_GB2312"/>
                <w:sz w:val="21"/>
                <w:color w:val="000000"/>
              </w:rPr>
              <w:t>燃料消耗量</w:t>
            </w:r>
            <w:r>
              <w:rPr>
                <w:rFonts w:ascii="仿宋_GB2312" w:hAnsi="仿宋_GB2312" w:cs="仿宋_GB2312" w:eastAsia="仿宋_GB2312"/>
                <w:sz w:val="21"/>
                <w:color w:val="000000"/>
              </w:rPr>
              <w:t>:≤35kg/h㎡；</w:t>
            </w:r>
          </w:p>
          <w:p>
            <w:pPr>
              <w:pStyle w:val="null3"/>
              <w:jc w:val="left"/>
            </w:pPr>
            <w:r>
              <w:rPr>
                <w:rFonts w:ascii="仿宋_GB2312" w:hAnsi="仿宋_GB2312" w:cs="仿宋_GB2312" w:eastAsia="仿宋_GB2312"/>
                <w:sz w:val="21"/>
                <w:color w:val="000000"/>
              </w:rPr>
              <w:t>配套内燃机标定功率：</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9.8</w:t>
            </w:r>
            <w:r>
              <w:rPr>
                <w:rFonts w:ascii="仿宋_GB2312" w:hAnsi="仿宋_GB2312" w:cs="仿宋_GB2312" w:eastAsia="仿宋_GB2312"/>
                <w:sz w:val="21"/>
                <w:color w:val="000000"/>
              </w:rPr>
              <w:t>KW；</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配套内燃机标定转速：</w:t>
            </w:r>
            <w:r>
              <w:rPr>
                <w:rFonts w:ascii="仿宋_GB2312" w:hAnsi="仿宋_GB2312" w:cs="仿宋_GB2312" w:eastAsia="仿宋_GB2312"/>
                <w:sz w:val="21"/>
                <w:color w:val="000000"/>
              </w:rPr>
              <w:t>≥3600r/min；</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配套</w:t>
            </w:r>
            <w:r>
              <w:rPr>
                <w:rFonts w:ascii="仿宋_GB2312" w:hAnsi="仿宋_GB2312" w:cs="仿宋_GB2312" w:eastAsia="仿宋_GB2312"/>
                <w:sz w:val="21"/>
                <w:color w:val="000000"/>
              </w:rPr>
              <w:t>内燃机</w:t>
            </w:r>
            <w:r>
              <w:rPr>
                <w:rFonts w:ascii="仿宋_GB2312" w:hAnsi="仿宋_GB2312" w:cs="仿宋_GB2312" w:eastAsia="仿宋_GB2312"/>
                <w:sz w:val="21"/>
                <w:color w:val="000000"/>
              </w:rPr>
              <w:t>起动方式：电起动；</w:t>
            </w:r>
          </w:p>
          <w:p>
            <w:pPr>
              <w:pStyle w:val="null3"/>
              <w:jc w:val="left"/>
            </w:pPr>
            <w:r>
              <w:rPr>
                <w:rFonts w:ascii="仿宋_GB2312" w:hAnsi="仿宋_GB2312" w:cs="仿宋_GB2312" w:eastAsia="仿宋_GB2312"/>
                <w:sz w:val="21"/>
                <w:color w:val="000000"/>
              </w:rPr>
              <w:t>配套</w:t>
            </w:r>
            <w:r>
              <w:rPr>
                <w:rFonts w:ascii="仿宋_GB2312" w:hAnsi="仿宋_GB2312" w:cs="仿宋_GB2312" w:eastAsia="仿宋_GB2312"/>
                <w:sz w:val="21"/>
                <w:color w:val="000000"/>
              </w:rPr>
              <w:t>内燃机</w:t>
            </w:r>
            <w:r>
              <w:rPr>
                <w:rFonts w:ascii="仿宋_GB2312" w:hAnsi="仿宋_GB2312" w:cs="仿宋_GB2312" w:eastAsia="仿宋_GB2312"/>
                <w:sz w:val="21"/>
                <w:color w:val="000000"/>
              </w:rPr>
              <w:t>种类：柴油；</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冷却方式：风冷</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割台型式：卧式；</w:t>
            </w:r>
          </w:p>
          <w:p>
            <w:pPr>
              <w:pStyle w:val="null3"/>
            </w:pPr>
            <w:r>
              <w:rPr>
                <w:rFonts w:ascii="仿宋_GB2312" w:hAnsi="仿宋_GB2312" w:cs="仿宋_GB2312" w:eastAsia="仿宋_GB2312"/>
                <w:sz w:val="21"/>
                <w:color w:val="000000"/>
              </w:rPr>
              <w:t>割刀升降方式：机动液压；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第一批货物运抵采购人接收后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全部供货完成，通过采购人组织的验收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由供应商书面提出申请验收，采购人在接到申请7日内，组织验收。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按照《农业机械产品修理、更换、退货责任规定》执行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2、未按合同要求提供货物 或货物质量不能满足要求和标准的，采购人有权终止合同，并对供方违约行为进行追究，同时按《政府采购法》的有关规定进 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1.交货要求： （1）供应商应负责货物到达交货地点前的所有包装、运输、装卸及保险事项，相关费用应包括在合同总价中。 （2）供应商应提供货物运至合同规定的最终目的地所需要的包装，包装应采取防漏、防晒、防腐蚀、防震动及防止其它损坏的必要保护措施。相关包装要求应符合财政部《关于印发《商品包装政府采购需求标准（试行）》、《快递包装政府采购需求标准（试行）》的通知》（财办库〔2020〕123号）相关标准和要求。2.供应商应在分项报价明细表中由法人逐页签字并加盖单位公章。3.售后服务要求：（1）提供本项目采购产品的售后专业支持和服务，包含服务内容、响应时间、售后服务技术标准等内容。（2）在售后服务或质保期限内，供应商应提供7*24小时电话、网络远程技术支持、现场支持等。（3）如发生产品故障等紧急情况，应及时响应修复，或提供备品备件产品或采取应急措施，以确保采购人正常使用。（4）响应时效：即时响应（包括电话响应）；电话响应无法解决24小时内到达现场。修复时间24小时内解决；如24小时内无法修复，应提供相应解决方案。 4.应急措施要求：（1）处理故障时，涉及业务操作及运行的任何变化，须得到采购人的正式授权方可操作； （2）严格遵守质量流程，严防因处理不当而引发新的故障，或埋下隐患。 5.验收标准或规范：（1）供应商在货物安装调式完毕后，整理项目过程资料并装订成册，书面通知采购人进行验收；采购人在检查货物原产地、型号、规格、配置符合合同要求后，由供应商负责安装调试、采购人负责技术验收，验收以国内行业标准或合同文本货物供货配置清单中描述的有关技术要求为准。 （2）验收标准：采购人根据合同要求进行验收,验收依据为合同文本、谈判文件、响应文件以及现行的国家标准或国家行政部门颁布的法律法规、规章制度等；没有国家标准的，可以参考行业标准。 （3）验收文档：供应商应以光盘提供项目中所包括的货物清单，并负责在项目验收时将项目的全部有关检测报告、产品说明书、原厂家安装手册、技术文件、资料及安装、验收报告等文档汇集成册交给采购人。 （4）验收合格后，向采购人提交所有验收文档等资料，以便使用单位日后管理和维护。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 信用代码营业执照（事业单位提供事业单位法人证书，自然人提供身份证明）。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w:t>
            </w:r>
          </w:p>
        </w:tc>
        <w:tc>
          <w:tcPr>
            <w:tcW w:type="dxa" w:w="3322"/>
          </w:tcPr>
          <w:p>
            <w:pPr>
              <w:pStyle w:val="null3"/>
            </w:pPr>
            <w:r>
              <w:rPr>
                <w:rFonts w:ascii="仿宋_GB2312" w:hAnsi="仿宋_GB2312" w:cs="仿宋_GB2312" w:eastAsia="仿宋_GB2312"/>
              </w:rPr>
              <w:t>须出具法定代表人身份证并与营业执照上信息一致。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应符合竞争性谈判文件中的规定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分项报价明细表.docx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响应文件内容符合竞争性谈判文件要求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供货方案</w:t>
            </w:r>
          </w:p>
        </w:tc>
        <w:tc>
          <w:tcPr>
            <w:tcW w:type="dxa" w:w="3322"/>
          </w:tcPr>
          <w:p>
            <w:pPr>
              <w:pStyle w:val="null3"/>
            </w:pPr>
            <w:r>
              <w:rPr>
                <w:rFonts w:ascii="仿宋_GB2312" w:hAnsi="仿宋_GB2312" w:cs="仿宋_GB2312" w:eastAsia="仿宋_GB2312"/>
              </w:rPr>
              <w:t>供应商应针对项目采购内容、技术要求、供货周期等方面要求编制详尽的、贴合项目实际的供货方案，至少应包括供货方案、质量保证措施、人员培训方案、售后服务方案等方面以满足采购项目需求。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带“★”的参数需求为实质性要求，供应商必须响应并满足的参数需求，供应商应在响应文件提供能够证明所投产品技术参数的证明材料(证明材料包含产品说明书及产品检测报告），有一项负偏离或无证明材料，视该供应商为无效响应。</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响应文件的签署盖章符合竞争性谈判文件要求</w:t>
            </w:r>
          </w:p>
        </w:tc>
        <w:tc>
          <w:tcPr>
            <w:tcW w:type="dxa" w:w="1661"/>
          </w:tcPr>
          <w:p>
            <w:pPr>
              <w:pStyle w:val="null3"/>
            </w:pPr>
            <w:r>
              <w:rPr>
                <w:rFonts w:ascii="仿宋_GB2312" w:hAnsi="仿宋_GB2312" w:cs="仿宋_GB2312" w:eastAsia="仿宋_GB2312"/>
              </w:rPr>
              <w:t>非联合体书面声明.docx 中小企业声明函 商务应答表 分项报价明细表.docx 报价表 响应文件封面 产品技术参数表 供应商应提交的相关资格证明材料.docx 残疾人福利性单位声明函 供货方案.docx 其他资料.docx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详见附件：非联合体书面声明.docx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