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版本号：ZYTT2025-HZ039.1B120251225001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2025年略阳县白水江镇农作物秸秆利用货物采购项目(二次)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ZYTT2025-HZ039.1B1</w:t>
      </w:r>
      <w:r>
        <w:br/>
      </w:r>
      <w:r>
        <w:br/>
      </w:r>
      <w:r>
        <w:br/>
      </w:r>
    </w:p>
    <w:p>
      <w:pPr>
        <w:pStyle w:val="null3"/>
        <w:jc w:val="center"/>
        <w:outlineLvl w:val="2"/>
      </w:pPr>
      <w:r>
        <w:rPr>
          <w:rFonts w:ascii="仿宋_GB2312" w:hAnsi="仿宋_GB2312" w:cs="仿宋_GB2312" w:eastAsia="仿宋_GB2312"/>
          <w:sz w:val="28"/>
          <w:b/>
        </w:rPr>
        <w:t>略阳县白水江镇人民政府</w:t>
      </w:r>
    </w:p>
    <w:p>
      <w:pPr>
        <w:pStyle w:val="null3"/>
        <w:jc w:val="center"/>
        <w:outlineLvl w:val="2"/>
      </w:pPr>
      <w:r>
        <w:rPr>
          <w:rFonts w:ascii="仿宋_GB2312" w:hAnsi="仿宋_GB2312" w:cs="仿宋_GB2312" w:eastAsia="仿宋_GB2312"/>
          <w:sz w:val="28"/>
          <w:b/>
        </w:rPr>
        <w:t>陕西正圆通泰项目管理有限公司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陕西正圆通泰项目管理有限公司</w:t>
      </w:r>
      <w:r>
        <w:rPr>
          <w:rFonts w:ascii="仿宋_GB2312" w:hAnsi="仿宋_GB2312" w:cs="仿宋_GB2312" w:eastAsia="仿宋_GB2312"/>
        </w:rPr>
        <w:t>（以下简称“代理机构”）受</w:t>
      </w:r>
      <w:r>
        <w:rPr>
          <w:rFonts w:ascii="仿宋_GB2312" w:hAnsi="仿宋_GB2312" w:cs="仿宋_GB2312" w:eastAsia="仿宋_GB2312"/>
        </w:rPr>
        <w:t>略阳县白水江镇人民政府</w:t>
      </w:r>
      <w:r>
        <w:rPr>
          <w:rFonts w:ascii="仿宋_GB2312" w:hAnsi="仿宋_GB2312" w:cs="仿宋_GB2312" w:eastAsia="仿宋_GB2312"/>
        </w:rPr>
        <w:t>委托，拟对</w:t>
      </w:r>
      <w:r>
        <w:rPr>
          <w:rFonts w:ascii="仿宋_GB2312" w:hAnsi="仿宋_GB2312" w:cs="仿宋_GB2312" w:eastAsia="仿宋_GB2312"/>
        </w:rPr>
        <w:t>2025年略阳县白水江镇农作物秸秆利用货物采购项目(二次)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ZYTT2025-HZ039.1B1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2025年略阳县白水江镇农作物秸秆利用货物采购项目(二次)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2025年略阳县白水江镇农作物秸秆利用货物采购项目，主要采购采购秸秆综合利用设备1批（包括防尘设备、转运车、粉碎机、油菜脱粒机等）。交付地点：略阳县白水江镇梁家湾村。</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采购包1（2025年略阳县白水江镇农作物秸秆利用货物采购项目）：属于专门面向中小企业采购。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1、营业执照：供应商具有独立承担民事责任能力的法人、其他组织或自然人，提供合法有效的统一社会信用代码营业执照或事业单位法人证书（自然人应提供身份证明）；</w:t>
      </w:r>
    </w:p>
    <w:p>
      <w:pPr>
        <w:pStyle w:val="null3"/>
      </w:pPr>
      <w:r>
        <w:rPr>
          <w:rFonts w:ascii="仿宋_GB2312" w:hAnsi="仿宋_GB2312" w:cs="仿宋_GB2312" w:eastAsia="仿宋_GB2312"/>
        </w:rPr>
        <w:t>2、法定代表人身份证明或授权委托书：法定代表人直接参加谈判的，须出具法定代表人（单位负责人）身份证明。法定代表人授权代表参加谈判的，须出具法定代表人（单位负责人）授权委托书及被授权人身份证复印件；</w:t>
      </w:r>
    </w:p>
    <w:p>
      <w:pPr>
        <w:pStyle w:val="null3"/>
      </w:pPr>
      <w:r>
        <w:rPr>
          <w:rFonts w:ascii="仿宋_GB2312" w:hAnsi="仿宋_GB2312" w:cs="仿宋_GB2312" w:eastAsia="仿宋_GB2312"/>
        </w:rPr>
        <w:t>3、汉中市政府采购供应商资格承诺函：供应商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 www. ccgp.gov.cn )；（供应商应按照汉中市财政局《关于全面推行政府采购供应商基本资格条件承诺制的通知》（汉采办采管〔2024〕20号）文件要求，需提供加盖公章的《汉中市政府采购供应商资格承诺函》）。</w:t>
      </w:r>
    </w:p>
    <w:p>
      <w:pPr>
        <w:pStyle w:val="null3"/>
      </w:pPr>
      <w:r>
        <w:rPr>
          <w:rFonts w:ascii="仿宋_GB2312" w:hAnsi="仿宋_GB2312" w:cs="仿宋_GB2312" w:eastAsia="仿宋_GB2312"/>
        </w:rPr>
        <w:t>4、供应商其法定代表人/负责人，不得被列入失信被执行人。：提供法定代表人/负责人，在中国执行信息公开网、中国裁判文书网的截图及承诺书（格式自拟）。</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略阳县白水江镇人民政府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陕西省汉中市略阳县白水江镇江镇社区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724302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0916-4951002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陕西正圆通泰项目管理有限公司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汉中市汉台区滨江东路晨晖帝景府A1号楼2402室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0916-8890636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略阳县政府采购管理办公室</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杨晶晶</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0916-4822998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采购包1保证金金额：1,000.00元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开户名称：陕西正圆通泰项目管理有限公司</w:t>
            </w:r>
          </w:p>
          <w:p>
            <w:pPr>
              <w:pStyle w:val="null3"/>
            </w:pPr>
            <w:r>
              <w:rPr>
                <w:rFonts w:ascii="仿宋_GB2312" w:hAnsi="仿宋_GB2312" w:cs="仿宋_GB2312" w:eastAsia="仿宋_GB2312"/>
              </w:rPr>
              <w:t>开户银行：中国建设银行股份有限公司西安丈八北路支行</w:t>
            </w:r>
          </w:p>
          <w:p>
            <w:pPr>
              <w:pStyle w:val="null3"/>
            </w:pPr>
            <w:r>
              <w:rPr>
                <w:rFonts w:ascii="仿宋_GB2312" w:hAnsi="仿宋_GB2312" w:cs="仿宋_GB2312" w:eastAsia="仿宋_GB2312"/>
              </w:rPr>
              <w:t>银行账号：6105 0192 8600 0000 0006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照成交价，采购代理机构按照国家计委关于印发《招标代理服务收费管理暂行办法》的通知（计价格〔2002〕1980号）和《国家发展和改革委员会办公厅关于招标代理服务收费有关问题的通知》（发改办价格〔2003〕857号）文件的规定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略阳县白水江镇人民政府</w:t>
      </w:r>
      <w:r>
        <w:rPr>
          <w:rFonts w:ascii="仿宋_GB2312" w:hAnsi="仿宋_GB2312" w:cs="仿宋_GB2312" w:eastAsia="仿宋_GB2312"/>
        </w:rPr>
        <w:t>和</w:t>
      </w:r>
      <w:r>
        <w:rPr>
          <w:rFonts w:ascii="仿宋_GB2312" w:hAnsi="仿宋_GB2312" w:cs="仿宋_GB2312" w:eastAsia="仿宋_GB2312"/>
        </w:rPr>
        <w:t>陕西正圆通泰项目管理有限公司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略阳县白水江镇人民政府</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陕西正圆通泰项目管理有限公司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略阳县白水江镇人民政府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陕西正圆通泰项目管理有限公司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达到合格标准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陕西正圆通泰项目管理有限公司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陕西正圆通泰项目管理有限公司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陕西正圆通泰项目管理有限公司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联系人：赵工</w:t>
      </w:r>
    </w:p>
    <w:p>
      <w:pPr>
        <w:pStyle w:val="null3"/>
      </w:pPr>
      <w:r>
        <w:rPr>
          <w:rFonts w:ascii="仿宋_GB2312" w:hAnsi="仿宋_GB2312" w:cs="仿宋_GB2312" w:eastAsia="仿宋_GB2312"/>
        </w:rPr>
        <w:t>联系电话：0916-8890636</w:t>
      </w:r>
    </w:p>
    <w:p>
      <w:pPr>
        <w:pStyle w:val="null3"/>
      </w:pPr>
      <w:r>
        <w:rPr>
          <w:rFonts w:ascii="仿宋_GB2312" w:hAnsi="仿宋_GB2312" w:cs="仿宋_GB2312" w:eastAsia="仿宋_GB2312"/>
        </w:rPr>
        <w:t>地址：汉中市汉台区滨江东路晨晖帝景府A1号楼2402室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2025年略阳县白水江镇农作物秸秆利用货物采购项目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550,000.00</w:t>
      </w:r>
    </w:p>
    <w:p>
      <w:pPr>
        <w:pStyle w:val="null3"/>
      </w:pPr>
      <w:r>
        <w:rPr>
          <w:rFonts w:ascii="仿宋_GB2312" w:hAnsi="仿宋_GB2312" w:cs="仿宋_GB2312" w:eastAsia="仿宋_GB2312"/>
        </w:rPr>
        <w:t>采购包最高限价（元）: 550,000.00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采购秸秆综合利用设备1批（包括防尘设备、转运车、粉碎机、油菜脱粒机等）。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标的名称：采购秸秆综合利用设备1批（包括防尘设备、转运车、粉碎机、油菜脱粒机等）。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32"/>
                <w:b/>
              </w:rPr>
              <w:t>采购清单</w:t>
            </w:r>
          </w:p>
          <w:tbl>
            <w:tblPr>
              <w:tblBorders>
                <w:top w:val="none" w:color="000000" w:sz="4"/>
                <w:left w:val="none" w:color="000000" w:sz="4"/>
                <w:bottom w:val="none" w:color="000000" w:sz="4"/>
                <w:right w:val="none" w:color="000000" w:sz="4"/>
                <w:insideH w:val="none"/>
                <w:insideV w:val="none"/>
              </w:tblBorders>
            </w:tblPr>
            <w:tblGrid>
              <w:gridCol w:w="161"/>
              <w:gridCol w:w="589"/>
              <w:gridCol w:w="216"/>
              <w:gridCol w:w="1309"/>
              <w:gridCol w:w="276"/>
            </w:tblGrid>
            <w:tr>
              <w:tc>
                <w:tcPr>
                  <w:tcW w:type="dxa" w:w="16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b/>
                    </w:rPr>
                    <w:t>序号</w:t>
                  </w:r>
                </w:p>
              </w:tc>
              <w:tc>
                <w:tcPr>
                  <w:tcW w:type="dxa" w:w="58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b/>
                    </w:rPr>
                    <w:t>采购设备</w:t>
                  </w:r>
                </w:p>
              </w:tc>
              <w:tc>
                <w:tcPr>
                  <w:tcW w:type="dxa" w:w="21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b/>
                    </w:rPr>
                    <w:t>数量</w:t>
                  </w:r>
                </w:p>
              </w:tc>
              <w:tc>
                <w:tcPr>
                  <w:tcW w:type="dxa" w:w="130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b/>
                    </w:rPr>
                    <w:t>配置</w:t>
                  </w:r>
                  <w:r>
                    <w:rPr>
                      <w:rFonts w:ascii="仿宋_GB2312" w:hAnsi="仿宋_GB2312" w:cs="仿宋_GB2312" w:eastAsia="仿宋_GB2312"/>
                      <w:sz w:val="28"/>
                      <w:b/>
                    </w:rPr>
                    <w:t>及参数</w:t>
                  </w:r>
                </w:p>
              </w:tc>
              <w:tc>
                <w:tcPr>
                  <w:tcW w:type="dxa" w:w="27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b/>
                    </w:rPr>
                    <w:t>单位</w:t>
                  </w:r>
                </w:p>
              </w:tc>
            </w:tr>
            <w:tr>
              <w:tc>
                <w:tcPr>
                  <w:tcW w:type="dxa" w:w="16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1</w:t>
                  </w:r>
                </w:p>
              </w:tc>
              <w:tc>
                <w:tcPr>
                  <w:tcW w:type="dxa" w:w="58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农作物秸秆铡草揉丝机及青贮饲料粉碎覆膜机</w:t>
                  </w:r>
                </w:p>
              </w:tc>
              <w:tc>
                <w:tcPr>
                  <w:tcW w:type="dxa" w:w="21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1</w:t>
                  </w:r>
                </w:p>
              </w:tc>
              <w:tc>
                <w:tcPr>
                  <w:tcW w:type="dxa" w:w="1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电机功率</w:t>
                  </w:r>
                  <w:r>
                    <w:rPr>
                      <w:rFonts w:ascii="仿宋_GB2312" w:hAnsi="仿宋_GB2312" w:cs="仿宋_GB2312" w:eastAsia="仿宋_GB2312"/>
                      <w:sz w:val="24"/>
                    </w:rPr>
                    <w:t>≥</w:t>
                  </w:r>
                  <w:r>
                    <w:rPr>
                      <w:rFonts w:ascii="仿宋_GB2312" w:hAnsi="仿宋_GB2312" w:cs="仿宋_GB2312" w:eastAsia="仿宋_GB2312"/>
                      <w:sz w:val="24"/>
                    </w:rPr>
                    <w:t>5.5KW ★</w:t>
                  </w:r>
                </w:p>
                <w:p>
                  <w:pPr>
                    <w:pStyle w:val="null3"/>
                    <w:jc w:val="both"/>
                  </w:pPr>
                  <w:r>
                    <w:rPr>
                      <w:rFonts w:ascii="仿宋_GB2312" w:hAnsi="仿宋_GB2312" w:cs="仿宋_GB2312" w:eastAsia="仿宋_GB2312"/>
                      <w:sz w:val="24"/>
                    </w:rPr>
                    <w:t>工作效率每小时</w:t>
                  </w:r>
                  <w:r>
                    <w:rPr>
                      <w:rFonts w:ascii="仿宋_GB2312" w:hAnsi="仿宋_GB2312" w:cs="仿宋_GB2312" w:eastAsia="仿宋_GB2312"/>
                      <w:sz w:val="24"/>
                    </w:rPr>
                    <w:t>≥</w:t>
                  </w:r>
                  <w:r>
                    <w:rPr>
                      <w:rFonts w:ascii="仿宋_GB2312" w:hAnsi="仿宋_GB2312" w:cs="仿宋_GB2312" w:eastAsia="仿宋_GB2312"/>
                      <w:sz w:val="24"/>
                    </w:rPr>
                    <w:t>50捆</w:t>
                  </w:r>
                </w:p>
                <w:p>
                  <w:pPr>
                    <w:pStyle w:val="null3"/>
                    <w:jc w:val="both"/>
                  </w:pPr>
                  <w:r>
                    <w:rPr>
                      <w:rFonts w:ascii="仿宋_GB2312" w:hAnsi="仿宋_GB2312" w:cs="仿宋_GB2312" w:eastAsia="仿宋_GB2312"/>
                      <w:sz w:val="24"/>
                    </w:rPr>
                    <w:t>包膜层</w:t>
                  </w:r>
                  <w:r>
                    <w:rPr>
                      <w:rFonts w:ascii="仿宋_GB2312" w:hAnsi="仿宋_GB2312" w:cs="仿宋_GB2312" w:eastAsia="仿宋_GB2312"/>
                      <w:sz w:val="24"/>
                    </w:rPr>
                    <w:t>≥</w:t>
                  </w:r>
                  <w:r>
                    <w:rPr>
                      <w:rFonts w:ascii="仿宋_GB2312" w:hAnsi="仿宋_GB2312" w:cs="仿宋_GB2312" w:eastAsia="仿宋_GB2312"/>
                      <w:sz w:val="24"/>
                    </w:rPr>
                    <w:t>2</w:t>
                  </w:r>
                </w:p>
                <w:p>
                  <w:pPr>
                    <w:pStyle w:val="null3"/>
                    <w:jc w:val="both"/>
                  </w:pPr>
                  <w:r>
                    <w:rPr>
                      <w:rFonts w:ascii="仿宋_GB2312" w:hAnsi="仿宋_GB2312" w:cs="仿宋_GB2312" w:eastAsia="仿宋_GB2312"/>
                      <w:sz w:val="24"/>
                    </w:rPr>
                    <w:t>配套揉丝机动力</w:t>
                  </w:r>
                  <w:r>
                    <w:rPr>
                      <w:rFonts w:ascii="仿宋_GB2312" w:hAnsi="仿宋_GB2312" w:cs="仿宋_GB2312" w:eastAsia="仿宋_GB2312"/>
                      <w:sz w:val="24"/>
                    </w:rPr>
                    <w:t>≥</w:t>
                  </w:r>
                  <w:r>
                    <w:rPr>
                      <w:rFonts w:ascii="仿宋_GB2312" w:hAnsi="仿宋_GB2312" w:cs="仿宋_GB2312" w:eastAsia="仿宋_GB2312"/>
                      <w:sz w:val="24"/>
                    </w:rPr>
                    <w:t>15KW ★</w:t>
                  </w:r>
                </w:p>
                <w:p>
                  <w:pPr>
                    <w:pStyle w:val="null3"/>
                    <w:jc w:val="both"/>
                  </w:pPr>
                  <w:r>
                    <w:rPr>
                      <w:rFonts w:ascii="仿宋_GB2312" w:hAnsi="仿宋_GB2312" w:cs="仿宋_GB2312" w:eastAsia="仿宋_GB2312"/>
                      <w:sz w:val="24"/>
                    </w:rPr>
                    <w:t>输送动力</w:t>
                  </w:r>
                  <w:r>
                    <w:rPr>
                      <w:rFonts w:ascii="仿宋_GB2312" w:hAnsi="仿宋_GB2312" w:cs="仿宋_GB2312" w:eastAsia="仿宋_GB2312"/>
                      <w:sz w:val="24"/>
                    </w:rPr>
                    <w:t>≥ 1.5KW ★</w:t>
                  </w:r>
                </w:p>
                <w:p>
                  <w:pPr>
                    <w:pStyle w:val="null3"/>
                    <w:jc w:val="both"/>
                  </w:pPr>
                  <w:r>
                    <w:rPr>
                      <w:rFonts w:ascii="仿宋_GB2312" w:hAnsi="仿宋_GB2312" w:cs="仿宋_GB2312" w:eastAsia="仿宋_GB2312"/>
                      <w:sz w:val="24"/>
                    </w:rPr>
                    <w:t>生产率</w:t>
                  </w:r>
                  <w:r>
                    <w:rPr>
                      <w:rFonts w:ascii="仿宋_GB2312" w:hAnsi="仿宋_GB2312" w:cs="仿宋_GB2312" w:eastAsia="仿宋_GB2312"/>
                      <w:sz w:val="24"/>
                    </w:rPr>
                    <w:t>≥6T/h</w:t>
                  </w:r>
                </w:p>
                <w:p>
                  <w:pPr>
                    <w:pStyle w:val="null3"/>
                    <w:jc w:val="both"/>
                  </w:pPr>
                  <w:r>
                    <w:rPr>
                      <w:rFonts w:ascii="仿宋_GB2312" w:hAnsi="仿宋_GB2312" w:cs="仿宋_GB2312" w:eastAsia="仿宋_GB2312"/>
                      <w:sz w:val="24"/>
                    </w:rPr>
                    <w:t>注：</w:t>
                  </w:r>
                  <w:r>
                    <w:rPr>
                      <w:rFonts w:ascii="仿宋_GB2312" w:hAnsi="仿宋_GB2312" w:cs="仿宋_GB2312" w:eastAsia="仿宋_GB2312"/>
                      <w:sz w:val="24"/>
                    </w:rPr>
                    <w:t>“★”提供检验报告、说明书、厂家授权</w:t>
                  </w:r>
                </w:p>
              </w:tc>
              <w:tc>
                <w:tcPr>
                  <w:tcW w:type="dxa" w:w="27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75" w:right="75" w:firstLine="109"/>
                    <w:jc w:val="center"/>
                  </w:pPr>
                  <w:r>
                    <w:rPr>
                      <w:rFonts w:ascii="仿宋_GB2312" w:hAnsi="仿宋_GB2312" w:cs="仿宋_GB2312" w:eastAsia="仿宋_GB2312"/>
                      <w:sz w:val="24"/>
                    </w:rPr>
                    <w:t>套</w:t>
                  </w:r>
                </w:p>
              </w:tc>
            </w:tr>
            <w:tr>
              <w:tc>
                <w:tcPr>
                  <w:tcW w:type="dxa" w:w="161"/>
                  <w:vMerge/>
                  <w:tcBorders>
                    <w:top w:val="none" w:color="000000" w:sz="4"/>
                    <w:left w:val="single" w:color="000000" w:sz="4"/>
                    <w:bottom w:val="single" w:color="000000" w:sz="4"/>
                    <w:right w:val="single" w:color="000000" w:sz="4"/>
                  </w:tcBorders>
                </w:tcPr>
                <w:p/>
              </w:tc>
              <w:tc>
                <w:tcPr>
                  <w:tcW w:type="dxa" w:w="589"/>
                  <w:vMerge/>
                  <w:tcBorders>
                    <w:top w:val="none" w:color="000000" w:sz="4"/>
                    <w:left w:val="single" w:color="000000" w:sz="4"/>
                    <w:bottom w:val="single" w:color="000000" w:sz="4"/>
                    <w:right w:val="single" w:color="000000" w:sz="4"/>
                  </w:tcBorders>
                </w:tcPr>
                <w:p/>
              </w:tc>
              <w:tc>
                <w:tcPr>
                  <w:tcW w:type="dxa" w:w="216"/>
                  <w:vMerge/>
                  <w:tcBorders>
                    <w:top w:val="none" w:color="000000" w:sz="4"/>
                    <w:left w:val="single" w:color="000000" w:sz="4"/>
                    <w:bottom w:val="single" w:color="000000" w:sz="4"/>
                    <w:right w:val="single" w:color="000000" w:sz="4"/>
                  </w:tcBorders>
                </w:tcPr>
                <w:p/>
              </w:tc>
              <w:tc>
                <w:tcPr>
                  <w:tcW w:type="dxa" w:w="1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输送带长度：</w:t>
                  </w:r>
                  <w:r>
                    <w:rPr>
                      <w:rFonts w:ascii="仿宋_GB2312" w:hAnsi="仿宋_GB2312" w:cs="仿宋_GB2312" w:eastAsia="仿宋_GB2312"/>
                      <w:sz w:val="24"/>
                    </w:rPr>
                    <w:t>≥9米，宽度≥0.8米；输送带动力≥3千瓦；</w:t>
                  </w:r>
                </w:p>
                <w:p>
                  <w:pPr>
                    <w:pStyle w:val="null3"/>
                    <w:jc w:val="both"/>
                  </w:pPr>
                  <w:r>
                    <w:rPr>
                      <w:rFonts w:ascii="仿宋_GB2312" w:hAnsi="仿宋_GB2312" w:cs="仿宋_GB2312" w:eastAsia="仿宋_GB2312"/>
                      <w:sz w:val="24"/>
                    </w:rPr>
                    <w:t>分料箱：</w:t>
                  </w:r>
                  <w:r>
                    <w:rPr>
                      <w:rFonts w:ascii="仿宋_GB2312" w:hAnsi="仿宋_GB2312" w:cs="仿宋_GB2312" w:eastAsia="仿宋_GB2312"/>
                      <w:sz w:val="24"/>
                    </w:rPr>
                    <w:t>≥5m³，电机：≥2.2kw。</w:t>
                  </w:r>
                </w:p>
              </w:tc>
              <w:tc>
                <w:tcPr>
                  <w:tcW w:type="dxa" w:w="276"/>
                  <w:vMerge/>
                  <w:tcBorders>
                    <w:top w:val="none" w:color="000000" w:sz="4"/>
                    <w:left w:val="single" w:color="000000" w:sz="4"/>
                    <w:bottom w:val="single" w:color="000000" w:sz="4"/>
                    <w:right w:val="single" w:color="000000" w:sz="4"/>
                  </w:tcBorders>
                </w:tcPr>
                <w:p/>
              </w:tc>
            </w:tr>
            <w:tr>
              <w:tc>
                <w:tcPr>
                  <w:tcW w:type="dxa" w:w="16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2</w:t>
                  </w:r>
                </w:p>
              </w:tc>
              <w:tc>
                <w:tcPr>
                  <w:tcW w:type="dxa" w:w="58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75" w:right="75" w:firstLine="109"/>
                    <w:jc w:val="center"/>
                  </w:pPr>
                  <w:r>
                    <w:rPr>
                      <w:rFonts w:ascii="仿宋_GB2312" w:hAnsi="仿宋_GB2312" w:cs="仿宋_GB2312" w:eastAsia="仿宋_GB2312"/>
                      <w:sz w:val="24"/>
                    </w:rPr>
                    <w:t>农作物秸秆转运机械</w:t>
                  </w:r>
                </w:p>
              </w:tc>
              <w:tc>
                <w:tcPr>
                  <w:tcW w:type="dxa" w:w="21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1</w:t>
                  </w:r>
                </w:p>
              </w:tc>
              <w:tc>
                <w:tcPr>
                  <w:tcW w:type="dxa" w:w="1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功率</w:t>
                  </w:r>
                  <w:r>
                    <w:rPr>
                      <w:rFonts w:ascii="仿宋_GB2312" w:hAnsi="仿宋_GB2312" w:cs="仿宋_GB2312" w:eastAsia="仿宋_GB2312"/>
                      <w:sz w:val="24"/>
                    </w:rPr>
                    <w:t>≥</w:t>
                  </w:r>
                  <w:r>
                    <w:rPr>
                      <w:rFonts w:ascii="仿宋_GB2312" w:hAnsi="仿宋_GB2312" w:cs="仿宋_GB2312" w:eastAsia="仿宋_GB2312"/>
                      <w:sz w:val="21"/>
                    </w:rPr>
                    <w:t xml:space="preserve"> </w:t>
                  </w:r>
                  <w:r>
                    <w:rPr>
                      <w:rFonts w:ascii="仿宋_GB2312" w:hAnsi="仿宋_GB2312" w:cs="仿宋_GB2312" w:eastAsia="仿宋_GB2312"/>
                      <w:sz w:val="24"/>
                    </w:rPr>
                    <w:t>18.8千瓦</w:t>
                  </w:r>
                  <w:r>
                    <w:rPr>
                      <w:rFonts w:ascii="仿宋_GB2312" w:hAnsi="仿宋_GB2312" w:cs="仿宋_GB2312" w:eastAsia="仿宋_GB2312"/>
                      <w:sz w:val="24"/>
                    </w:rPr>
                    <w:t xml:space="preserve"> </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排放标准：</w:t>
                  </w:r>
                  <w:r>
                    <w:rPr>
                      <w:rFonts w:ascii="仿宋_GB2312" w:hAnsi="仿宋_GB2312" w:cs="仿宋_GB2312" w:eastAsia="仿宋_GB2312"/>
                      <w:sz w:val="24"/>
                    </w:rPr>
                    <w:t>国四标准</w:t>
                  </w:r>
                </w:p>
                <w:p>
                  <w:pPr>
                    <w:pStyle w:val="null3"/>
                    <w:jc w:val="both"/>
                  </w:pPr>
                  <w:r>
                    <w:rPr>
                      <w:rFonts w:ascii="仿宋_GB2312" w:hAnsi="仿宋_GB2312" w:cs="仿宋_GB2312" w:eastAsia="仿宋_GB2312"/>
                      <w:sz w:val="24"/>
                    </w:rPr>
                    <w:t>档位数</w:t>
                  </w:r>
                  <w:r>
                    <w:rPr>
                      <w:rFonts w:ascii="仿宋_GB2312" w:hAnsi="仿宋_GB2312" w:cs="仿宋_GB2312" w:eastAsia="仿宋_GB2312"/>
                      <w:sz w:val="24"/>
                    </w:rPr>
                    <w:t>≥6 ★</w:t>
                  </w:r>
                </w:p>
                <w:p>
                  <w:pPr>
                    <w:pStyle w:val="null3"/>
                    <w:jc w:val="both"/>
                  </w:pPr>
                  <w:r>
                    <w:rPr>
                      <w:rFonts w:ascii="仿宋_GB2312" w:hAnsi="仿宋_GB2312" w:cs="仿宋_GB2312" w:eastAsia="仿宋_GB2312"/>
                      <w:sz w:val="24"/>
                    </w:rPr>
                    <w:t>注：</w:t>
                  </w:r>
                  <w:r>
                    <w:rPr>
                      <w:rFonts w:ascii="仿宋_GB2312" w:hAnsi="仿宋_GB2312" w:cs="仿宋_GB2312" w:eastAsia="仿宋_GB2312"/>
                      <w:sz w:val="24"/>
                    </w:rPr>
                    <w:t>“★”提供检验报告、推广鉴定报告或3C认证、厂家授权</w:t>
                  </w:r>
                </w:p>
              </w:tc>
              <w:tc>
                <w:tcPr>
                  <w:tcW w:type="dxa" w:w="27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75" w:right="75" w:firstLine="109"/>
                    <w:jc w:val="center"/>
                  </w:pPr>
                  <w:r>
                    <w:rPr>
                      <w:rFonts w:ascii="仿宋_GB2312" w:hAnsi="仿宋_GB2312" w:cs="仿宋_GB2312" w:eastAsia="仿宋_GB2312"/>
                      <w:sz w:val="24"/>
                    </w:rPr>
                    <w:t>套</w:t>
                  </w:r>
                </w:p>
              </w:tc>
            </w:tr>
            <w:tr>
              <w:tc>
                <w:tcPr>
                  <w:tcW w:type="dxa" w:w="161"/>
                  <w:vMerge/>
                  <w:tcBorders>
                    <w:top w:val="none" w:color="000000" w:sz="4"/>
                    <w:left w:val="single" w:color="000000" w:sz="4"/>
                    <w:bottom w:val="single" w:color="000000" w:sz="4"/>
                    <w:right w:val="single" w:color="000000" w:sz="4"/>
                  </w:tcBorders>
                </w:tcPr>
                <w:p/>
              </w:tc>
              <w:tc>
                <w:tcPr>
                  <w:tcW w:type="dxa" w:w="589"/>
                  <w:vMerge/>
                  <w:tcBorders>
                    <w:top w:val="none" w:color="000000" w:sz="4"/>
                    <w:left w:val="single" w:color="000000" w:sz="4"/>
                    <w:bottom w:val="single" w:color="000000" w:sz="4"/>
                    <w:right w:val="single" w:color="000000" w:sz="4"/>
                  </w:tcBorders>
                </w:tcPr>
                <w:p/>
              </w:tc>
              <w:tc>
                <w:tcPr>
                  <w:tcW w:type="dxa" w:w="216"/>
                  <w:vMerge/>
                  <w:tcBorders>
                    <w:top w:val="none" w:color="000000" w:sz="4"/>
                    <w:left w:val="single" w:color="000000" w:sz="4"/>
                    <w:bottom w:val="single" w:color="000000" w:sz="4"/>
                    <w:right w:val="single" w:color="000000" w:sz="4"/>
                  </w:tcBorders>
                </w:tcPr>
                <w:p/>
              </w:tc>
              <w:tc>
                <w:tcPr>
                  <w:tcW w:type="dxa" w:w="1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车厢尺寸：</w:t>
                  </w:r>
                  <w:r>
                    <w:rPr>
                      <w:rFonts w:ascii="仿宋_GB2312" w:hAnsi="仿宋_GB2312" w:cs="仿宋_GB2312" w:eastAsia="仿宋_GB2312"/>
                      <w:sz w:val="24"/>
                    </w:rPr>
                    <w:t>≥2500*1200*1000</w:t>
                  </w:r>
                  <w:r>
                    <w:rPr>
                      <w:rFonts w:ascii="仿宋_GB2312" w:hAnsi="仿宋_GB2312" w:cs="仿宋_GB2312" w:eastAsia="仿宋_GB2312"/>
                      <w:sz w:val="24"/>
                    </w:rPr>
                    <w:t>mm</w:t>
                  </w:r>
                  <w:r>
                    <w:rPr>
                      <w:rFonts w:ascii="仿宋_GB2312" w:hAnsi="仿宋_GB2312" w:cs="仿宋_GB2312" w:eastAsia="仿宋_GB2312"/>
                      <w:sz w:val="24"/>
                    </w:rPr>
                    <w:t>带驱动</w:t>
                  </w:r>
                </w:p>
                <w:p>
                  <w:pPr>
                    <w:pStyle w:val="null3"/>
                    <w:jc w:val="both"/>
                  </w:pPr>
                  <w:r>
                    <w:rPr>
                      <w:rFonts w:ascii="仿宋_GB2312" w:hAnsi="仿宋_GB2312" w:cs="仿宋_GB2312" w:eastAsia="仿宋_GB2312"/>
                      <w:sz w:val="24"/>
                    </w:rPr>
                    <w:t>挂车载质量：</w:t>
                  </w:r>
                  <w:r>
                    <w:rPr>
                      <w:rFonts w:ascii="仿宋_GB2312" w:hAnsi="仿宋_GB2312" w:cs="仿宋_GB2312" w:eastAsia="仿宋_GB2312"/>
                      <w:sz w:val="24"/>
                    </w:rPr>
                    <w:t>≥</w:t>
                  </w:r>
                  <w:r>
                    <w:rPr>
                      <w:rFonts w:ascii="仿宋_GB2312" w:hAnsi="仿宋_GB2312" w:cs="仿宋_GB2312" w:eastAsia="仿宋_GB2312"/>
                      <w:sz w:val="24"/>
                    </w:rPr>
                    <w:t>15</w:t>
                  </w:r>
                  <w:r>
                    <w:rPr>
                      <w:rFonts w:ascii="仿宋_GB2312" w:hAnsi="仿宋_GB2312" w:cs="仿宋_GB2312" w:eastAsia="仿宋_GB2312"/>
                      <w:sz w:val="24"/>
                    </w:rPr>
                    <w:t>00KG</w:t>
                  </w:r>
                  <w:r>
                    <w:rPr>
                      <w:rFonts w:ascii="仿宋_GB2312" w:hAnsi="仿宋_GB2312" w:cs="仿宋_GB2312" w:eastAsia="仿宋_GB2312"/>
                      <w:sz w:val="24"/>
                    </w:rPr>
                    <w:t xml:space="preserve"> </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装卸方式：</w:t>
                  </w:r>
                  <w:r>
                    <w:rPr>
                      <w:rFonts w:ascii="仿宋_GB2312" w:hAnsi="仿宋_GB2312" w:cs="仿宋_GB2312" w:eastAsia="仿宋_GB2312"/>
                      <w:sz w:val="24"/>
                    </w:rPr>
                    <w:t>自卸</w:t>
                  </w:r>
                  <w:r>
                    <w:rPr>
                      <w:rFonts w:ascii="仿宋_GB2312" w:hAnsi="仿宋_GB2312" w:cs="仿宋_GB2312" w:eastAsia="仿宋_GB2312"/>
                      <w:sz w:val="24"/>
                    </w:rPr>
                    <w:t xml:space="preserve"> </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制动方式：断气制动</w:t>
                  </w:r>
                </w:p>
                <w:p>
                  <w:pPr>
                    <w:pStyle w:val="null3"/>
                    <w:jc w:val="both"/>
                  </w:pPr>
                  <w:r>
                    <w:rPr>
                      <w:rFonts w:ascii="仿宋_GB2312" w:hAnsi="仿宋_GB2312" w:cs="仿宋_GB2312" w:eastAsia="仿宋_GB2312"/>
                      <w:sz w:val="24"/>
                    </w:rPr>
                    <w:t>注：</w:t>
                  </w:r>
                  <w:r>
                    <w:rPr>
                      <w:rFonts w:ascii="仿宋_GB2312" w:hAnsi="仿宋_GB2312" w:cs="仿宋_GB2312" w:eastAsia="仿宋_GB2312"/>
                      <w:sz w:val="24"/>
                    </w:rPr>
                    <w:t>“★”提供检验报告</w:t>
                  </w:r>
                </w:p>
              </w:tc>
              <w:tc>
                <w:tcPr>
                  <w:tcW w:type="dxa" w:w="276"/>
                  <w:vMerge/>
                  <w:tcBorders>
                    <w:top w:val="none" w:color="000000" w:sz="4"/>
                    <w:left w:val="single" w:color="000000" w:sz="4"/>
                    <w:bottom w:val="single" w:color="000000" w:sz="4"/>
                    <w:right w:val="single" w:color="000000" w:sz="4"/>
                  </w:tcBorders>
                </w:tcPr>
                <w:p/>
              </w:tc>
            </w:tr>
            <w:tr>
              <w:tc>
                <w:tcPr>
                  <w:tcW w:type="dxa" w:w="16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3</w:t>
                  </w:r>
                </w:p>
              </w:tc>
              <w:tc>
                <w:tcPr>
                  <w:tcW w:type="dxa" w:w="58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right="75"/>
                    <w:jc w:val="center"/>
                  </w:pPr>
                  <w:r>
                    <w:rPr>
                      <w:rFonts w:ascii="仿宋_GB2312" w:hAnsi="仿宋_GB2312" w:cs="仿宋_GB2312" w:eastAsia="仿宋_GB2312"/>
                      <w:sz w:val="24"/>
                    </w:rPr>
                    <w:t>秸秆粉碎还田机及配套机械</w:t>
                  </w:r>
                </w:p>
              </w:tc>
              <w:tc>
                <w:tcPr>
                  <w:tcW w:type="dxa" w:w="21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1</w:t>
                  </w:r>
                </w:p>
              </w:tc>
              <w:tc>
                <w:tcPr>
                  <w:tcW w:type="dxa" w:w="1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功率：</w:t>
                  </w:r>
                  <w:r>
                    <w:rPr>
                      <w:rFonts w:ascii="仿宋_GB2312" w:hAnsi="仿宋_GB2312" w:cs="仿宋_GB2312" w:eastAsia="仿宋_GB2312"/>
                      <w:sz w:val="24"/>
                    </w:rPr>
                    <w:t>≥36kw ★</w:t>
                  </w:r>
                </w:p>
                <w:p>
                  <w:pPr>
                    <w:pStyle w:val="null3"/>
                    <w:jc w:val="both"/>
                  </w:pPr>
                  <w:r>
                    <w:rPr>
                      <w:rFonts w:ascii="仿宋_GB2312" w:hAnsi="仿宋_GB2312" w:cs="仿宋_GB2312" w:eastAsia="仿宋_GB2312"/>
                      <w:sz w:val="24"/>
                    </w:rPr>
                    <w:t>驱动方式：四驱</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排放标准：</w:t>
                  </w:r>
                  <w:r>
                    <w:rPr>
                      <w:rFonts w:ascii="仿宋_GB2312" w:hAnsi="仿宋_GB2312" w:cs="仿宋_GB2312" w:eastAsia="仿宋_GB2312"/>
                      <w:sz w:val="24"/>
                    </w:rPr>
                    <w:t>≥国四标准 ★</w:t>
                  </w:r>
                </w:p>
                <w:p>
                  <w:pPr>
                    <w:pStyle w:val="null3"/>
                    <w:jc w:val="both"/>
                  </w:pPr>
                  <w:r>
                    <w:rPr>
                      <w:rFonts w:ascii="仿宋_GB2312" w:hAnsi="仿宋_GB2312" w:cs="仿宋_GB2312" w:eastAsia="仿宋_GB2312"/>
                      <w:sz w:val="24"/>
                    </w:rPr>
                    <w:t>液压输出：</w:t>
                  </w:r>
                  <w:r>
                    <w:rPr>
                      <w:rFonts w:ascii="仿宋_GB2312" w:hAnsi="仿宋_GB2312" w:cs="仿宋_GB2312" w:eastAsia="仿宋_GB2312"/>
                      <w:sz w:val="24"/>
                    </w:rPr>
                    <w:t>≥两组</w:t>
                  </w:r>
                </w:p>
                <w:p>
                  <w:pPr>
                    <w:pStyle w:val="null3"/>
                    <w:jc w:val="both"/>
                  </w:pPr>
                  <w:r>
                    <w:rPr>
                      <w:rFonts w:ascii="仿宋_GB2312" w:hAnsi="仿宋_GB2312" w:cs="仿宋_GB2312" w:eastAsia="仿宋_GB2312"/>
                      <w:sz w:val="24"/>
                    </w:rPr>
                    <w:t>配带遮阳棚及定位终端</w:t>
                  </w:r>
                </w:p>
                <w:p>
                  <w:pPr>
                    <w:pStyle w:val="null3"/>
                    <w:jc w:val="both"/>
                  </w:pPr>
                  <w:r>
                    <w:rPr>
                      <w:rFonts w:ascii="仿宋_GB2312" w:hAnsi="仿宋_GB2312" w:cs="仿宋_GB2312" w:eastAsia="仿宋_GB2312"/>
                      <w:sz w:val="24"/>
                    </w:rPr>
                    <w:t>动力输出转速</w:t>
                  </w:r>
                  <w:r>
                    <w:rPr>
                      <w:rFonts w:ascii="仿宋_GB2312" w:hAnsi="仿宋_GB2312" w:cs="仿宋_GB2312" w:eastAsia="仿宋_GB2312"/>
                      <w:sz w:val="24"/>
                    </w:rPr>
                    <w:t>(r/min)：≥540</w:t>
                  </w:r>
                </w:p>
                <w:p>
                  <w:pPr>
                    <w:pStyle w:val="null3"/>
                    <w:jc w:val="both"/>
                  </w:pPr>
                  <w:r>
                    <w:rPr>
                      <w:rFonts w:ascii="仿宋_GB2312" w:hAnsi="仿宋_GB2312" w:cs="仿宋_GB2312" w:eastAsia="仿宋_GB2312"/>
                      <w:sz w:val="24"/>
                    </w:rPr>
                    <w:t>排挡数：</w:t>
                  </w:r>
                  <w:r>
                    <w:rPr>
                      <w:rFonts w:ascii="仿宋_GB2312" w:hAnsi="仿宋_GB2312" w:cs="仿宋_GB2312" w:eastAsia="仿宋_GB2312"/>
                      <w:sz w:val="24"/>
                    </w:rPr>
                    <w:t>≥8 ★</w:t>
                  </w:r>
                </w:p>
                <w:p>
                  <w:pPr>
                    <w:pStyle w:val="null3"/>
                    <w:jc w:val="both"/>
                  </w:pPr>
                  <w:r>
                    <w:rPr>
                      <w:rFonts w:ascii="仿宋_GB2312" w:hAnsi="仿宋_GB2312" w:cs="仿宋_GB2312" w:eastAsia="仿宋_GB2312"/>
                      <w:sz w:val="24"/>
                    </w:rPr>
                    <w:t>注：</w:t>
                  </w:r>
                  <w:r>
                    <w:rPr>
                      <w:rFonts w:ascii="仿宋_GB2312" w:hAnsi="仿宋_GB2312" w:cs="仿宋_GB2312" w:eastAsia="仿宋_GB2312"/>
                      <w:sz w:val="24"/>
                    </w:rPr>
                    <w:t>“★”提供检验报告、推广鉴定报告、厂家授权</w:t>
                  </w:r>
                </w:p>
              </w:tc>
              <w:tc>
                <w:tcPr>
                  <w:tcW w:type="dxa" w:w="27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75" w:right="75" w:firstLine="109"/>
                    <w:jc w:val="center"/>
                  </w:pPr>
                  <w:r>
                    <w:rPr>
                      <w:rFonts w:ascii="仿宋_GB2312" w:hAnsi="仿宋_GB2312" w:cs="仿宋_GB2312" w:eastAsia="仿宋_GB2312"/>
                      <w:sz w:val="24"/>
                    </w:rPr>
                    <w:t>套</w:t>
                  </w:r>
                </w:p>
              </w:tc>
            </w:tr>
            <w:tr>
              <w:tc>
                <w:tcPr>
                  <w:tcW w:type="dxa" w:w="161"/>
                  <w:vMerge/>
                  <w:tcBorders>
                    <w:top w:val="none" w:color="000000" w:sz="4"/>
                    <w:left w:val="single" w:color="000000" w:sz="4"/>
                    <w:bottom w:val="single" w:color="000000" w:sz="4"/>
                    <w:right w:val="single" w:color="000000" w:sz="4"/>
                  </w:tcBorders>
                </w:tcPr>
                <w:p/>
              </w:tc>
              <w:tc>
                <w:tcPr>
                  <w:tcW w:type="dxa" w:w="589"/>
                  <w:vMerge/>
                  <w:tcBorders>
                    <w:top w:val="none" w:color="000000" w:sz="4"/>
                    <w:left w:val="single" w:color="000000" w:sz="4"/>
                    <w:bottom w:val="single" w:color="000000" w:sz="4"/>
                    <w:right w:val="single" w:color="000000" w:sz="4"/>
                  </w:tcBorders>
                </w:tcPr>
                <w:p/>
              </w:tc>
              <w:tc>
                <w:tcPr>
                  <w:tcW w:type="dxa" w:w="216"/>
                  <w:vMerge/>
                  <w:tcBorders>
                    <w:top w:val="none" w:color="000000" w:sz="4"/>
                    <w:left w:val="single" w:color="000000" w:sz="4"/>
                    <w:bottom w:val="single" w:color="000000" w:sz="4"/>
                    <w:right w:val="single" w:color="000000" w:sz="4"/>
                  </w:tcBorders>
                </w:tcPr>
                <w:p/>
              </w:tc>
              <w:tc>
                <w:tcPr>
                  <w:tcW w:type="dxa" w:w="1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作业幅宽：</w:t>
                  </w:r>
                  <w:r>
                    <w:rPr>
                      <w:rFonts w:ascii="仿宋_GB2312" w:hAnsi="仿宋_GB2312" w:cs="仿宋_GB2312" w:eastAsia="仿宋_GB2312"/>
                      <w:sz w:val="24"/>
                    </w:rPr>
                    <w:t>≥130cm</w:t>
                  </w:r>
                </w:p>
                <w:p>
                  <w:pPr>
                    <w:pStyle w:val="null3"/>
                    <w:jc w:val="both"/>
                  </w:pPr>
                  <w:r>
                    <w:rPr>
                      <w:rFonts w:ascii="仿宋_GB2312" w:hAnsi="仿宋_GB2312" w:cs="仿宋_GB2312" w:eastAsia="仿宋_GB2312"/>
                      <w:sz w:val="24"/>
                    </w:rPr>
                    <w:t>刀片数量：弯刀</w:t>
                  </w:r>
                  <w:r>
                    <w:rPr>
                      <w:rFonts w:ascii="仿宋_GB2312" w:hAnsi="仿宋_GB2312" w:cs="仿宋_GB2312" w:eastAsia="仿宋_GB2312"/>
                      <w:sz w:val="24"/>
                    </w:rPr>
                    <w:t>≥52、直刀≥26</w:t>
                  </w:r>
                </w:p>
                <w:p>
                  <w:pPr>
                    <w:pStyle w:val="null3"/>
                    <w:jc w:val="both"/>
                  </w:pPr>
                  <w:r>
                    <w:rPr>
                      <w:rFonts w:ascii="仿宋_GB2312" w:hAnsi="仿宋_GB2312" w:cs="仿宋_GB2312" w:eastAsia="仿宋_GB2312"/>
                      <w:sz w:val="24"/>
                    </w:rPr>
                    <w:t>翻转犁</w:t>
                  </w:r>
                  <w:r>
                    <w:rPr>
                      <w:rFonts w:ascii="仿宋_GB2312" w:hAnsi="仿宋_GB2312" w:cs="仿宋_GB2312" w:eastAsia="仿宋_GB2312"/>
                      <w:sz w:val="24"/>
                    </w:rPr>
                    <w:t>适用动力：</w:t>
                  </w:r>
                  <w:r>
                    <w:rPr>
                      <w:rFonts w:ascii="仿宋_GB2312" w:hAnsi="仿宋_GB2312" w:cs="仿宋_GB2312" w:eastAsia="仿宋_GB2312"/>
                      <w:sz w:val="24"/>
                    </w:rPr>
                    <w:t>≥29.4kw</w:t>
                  </w:r>
                </w:p>
                <w:p>
                  <w:pPr>
                    <w:pStyle w:val="null3"/>
                    <w:jc w:val="both"/>
                  </w:pPr>
                  <w:r>
                    <w:rPr>
                      <w:rFonts w:ascii="仿宋_GB2312" w:hAnsi="仿宋_GB2312" w:cs="仿宋_GB2312" w:eastAsia="仿宋_GB2312"/>
                      <w:sz w:val="24"/>
                    </w:rPr>
                    <w:t>翻转机构型式：液压式</w:t>
                  </w:r>
                  <w:r>
                    <w:rPr>
                      <w:rFonts w:ascii="仿宋_GB2312" w:hAnsi="仿宋_GB2312" w:cs="仿宋_GB2312" w:eastAsia="仿宋_GB2312"/>
                      <w:sz w:val="24"/>
                    </w:rPr>
                    <w:t>全翻转式</w:t>
                  </w:r>
                </w:p>
                <w:p>
                  <w:pPr>
                    <w:pStyle w:val="null3"/>
                    <w:jc w:val="both"/>
                  </w:pPr>
                  <w:r>
                    <w:rPr>
                      <w:rFonts w:ascii="仿宋_GB2312" w:hAnsi="仿宋_GB2312" w:cs="仿宋_GB2312" w:eastAsia="仿宋_GB2312"/>
                      <w:sz w:val="24"/>
                    </w:rPr>
                    <w:t>犁体数量：</w:t>
                  </w:r>
                  <w:r>
                    <w:rPr>
                      <w:rFonts w:ascii="仿宋_GB2312" w:hAnsi="仿宋_GB2312" w:cs="仿宋_GB2312" w:eastAsia="仿宋_GB2312"/>
                      <w:sz w:val="24"/>
                    </w:rPr>
                    <w:t>2×2个</w:t>
                  </w:r>
                </w:p>
                <w:p>
                  <w:pPr>
                    <w:pStyle w:val="null3"/>
                    <w:jc w:val="both"/>
                  </w:pPr>
                  <w:r>
                    <w:rPr>
                      <w:rFonts w:ascii="仿宋_GB2312" w:hAnsi="仿宋_GB2312" w:cs="仿宋_GB2312" w:eastAsia="仿宋_GB2312"/>
                      <w:sz w:val="24"/>
                    </w:rPr>
                    <w:t>犁体幅宽：</w:t>
                  </w:r>
                  <w:r>
                    <w:rPr>
                      <w:rFonts w:ascii="仿宋_GB2312" w:hAnsi="仿宋_GB2312" w:cs="仿宋_GB2312" w:eastAsia="仿宋_GB2312"/>
                      <w:sz w:val="24"/>
                    </w:rPr>
                    <w:t>≥</w:t>
                  </w:r>
                  <w:r>
                    <w:rPr>
                      <w:rFonts w:ascii="仿宋_GB2312" w:hAnsi="仿宋_GB2312" w:cs="仿宋_GB2312" w:eastAsia="仿宋_GB2312"/>
                      <w:sz w:val="24"/>
                    </w:rPr>
                    <w:t>270mm</w:t>
                  </w:r>
                </w:p>
              </w:tc>
              <w:tc>
                <w:tcPr>
                  <w:tcW w:type="dxa" w:w="276"/>
                  <w:vMerge/>
                  <w:tcBorders>
                    <w:top w:val="none" w:color="000000" w:sz="4"/>
                    <w:left w:val="single" w:color="000000" w:sz="4"/>
                    <w:bottom w:val="single" w:color="000000" w:sz="4"/>
                    <w:right w:val="single" w:color="000000" w:sz="4"/>
                  </w:tcBorders>
                </w:tcPr>
                <w:p/>
              </w:tc>
            </w:tr>
            <w:tr>
              <w:tc>
                <w:tcPr>
                  <w:tcW w:type="dxa" w:w="1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0"/>
                    <w:jc w:val="both"/>
                  </w:pPr>
                  <w:r>
                    <w:rPr>
                      <w:rFonts w:ascii="仿宋_GB2312" w:hAnsi="仿宋_GB2312" w:cs="仿宋_GB2312" w:eastAsia="仿宋_GB2312"/>
                      <w:sz w:val="24"/>
                    </w:rPr>
                    <w:t>4</w:t>
                  </w:r>
                </w:p>
              </w:tc>
              <w:tc>
                <w:tcPr>
                  <w:tcW w:type="dxa" w:w="5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油菜脱粒机</w:t>
                  </w:r>
                </w:p>
              </w:tc>
              <w:tc>
                <w:tcPr>
                  <w:tcW w:type="dxa" w:w="2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3</w:t>
                  </w:r>
                </w:p>
              </w:tc>
              <w:tc>
                <w:tcPr>
                  <w:tcW w:type="dxa" w:w="1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动力型式：内燃</w:t>
                  </w:r>
                </w:p>
                <w:p>
                  <w:pPr>
                    <w:pStyle w:val="null3"/>
                    <w:jc w:val="both"/>
                  </w:pPr>
                  <w:r>
                    <w:rPr>
                      <w:rFonts w:ascii="仿宋_GB2312" w:hAnsi="仿宋_GB2312" w:cs="仿宋_GB2312" w:eastAsia="仿宋_GB2312"/>
                      <w:sz w:val="24"/>
                    </w:rPr>
                    <w:t>喂入方式：人工</w:t>
                  </w:r>
                  <w:r>
                    <w:rPr>
                      <w:rFonts w:ascii="仿宋_GB2312" w:hAnsi="仿宋_GB2312" w:cs="仿宋_GB2312" w:eastAsia="仿宋_GB2312"/>
                      <w:sz w:val="24"/>
                    </w:rPr>
                    <w:t>喂入</w:t>
                  </w:r>
                </w:p>
                <w:p>
                  <w:pPr>
                    <w:pStyle w:val="null3"/>
                    <w:jc w:val="both"/>
                  </w:pPr>
                  <w:r>
                    <w:rPr>
                      <w:rFonts w:ascii="仿宋_GB2312" w:hAnsi="仿宋_GB2312" w:cs="仿宋_GB2312" w:eastAsia="仿宋_GB2312"/>
                      <w:sz w:val="24"/>
                    </w:rPr>
                    <w:t>动力功率：</w:t>
                  </w:r>
                  <w:r>
                    <w:rPr>
                      <w:rFonts w:ascii="仿宋_GB2312" w:hAnsi="仿宋_GB2312" w:cs="仿宋_GB2312" w:eastAsia="仿宋_GB2312"/>
                      <w:sz w:val="24"/>
                    </w:rPr>
                    <w:t>≥</w:t>
                  </w:r>
                  <w:r>
                    <w:rPr>
                      <w:rFonts w:ascii="仿宋_GB2312" w:hAnsi="仿宋_GB2312" w:cs="仿宋_GB2312" w:eastAsia="仿宋_GB2312"/>
                      <w:sz w:val="24"/>
                    </w:rPr>
                    <w:t>3.0</w:t>
                  </w:r>
                  <w:r>
                    <w:rPr>
                      <w:rFonts w:ascii="仿宋_GB2312" w:hAnsi="仿宋_GB2312" w:cs="仿宋_GB2312" w:eastAsia="仿宋_GB2312"/>
                      <w:sz w:val="24"/>
                    </w:rPr>
                    <w:t>kW</w:t>
                  </w:r>
                  <w:r>
                    <w:rPr>
                      <w:rFonts w:ascii="仿宋_GB2312" w:hAnsi="仿宋_GB2312" w:cs="仿宋_GB2312" w:eastAsia="仿宋_GB2312"/>
                      <w:sz w:val="24"/>
                    </w:rPr>
                    <w:t xml:space="preserve"> </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注：</w:t>
                  </w:r>
                  <w:r>
                    <w:rPr>
                      <w:rFonts w:ascii="仿宋_GB2312" w:hAnsi="仿宋_GB2312" w:cs="仿宋_GB2312" w:eastAsia="仿宋_GB2312"/>
                      <w:sz w:val="24"/>
                    </w:rPr>
                    <w:t>“★”提供检验报告</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75" w:right="75" w:firstLine="109"/>
                    <w:jc w:val="center"/>
                  </w:pPr>
                  <w:r>
                    <w:rPr>
                      <w:rFonts w:ascii="仿宋_GB2312" w:hAnsi="仿宋_GB2312" w:cs="仿宋_GB2312" w:eastAsia="仿宋_GB2312"/>
                      <w:sz w:val="24"/>
                    </w:rPr>
                    <w:t>台</w:t>
                  </w:r>
                </w:p>
              </w:tc>
            </w:tr>
            <w:tr>
              <w:tc>
                <w:tcPr>
                  <w:tcW w:type="dxa" w:w="1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0"/>
                    <w:jc w:val="both"/>
                  </w:pPr>
                  <w:r>
                    <w:rPr>
                      <w:rFonts w:ascii="仿宋_GB2312" w:hAnsi="仿宋_GB2312" w:cs="仿宋_GB2312" w:eastAsia="仿宋_GB2312"/>
                      <w:sz w:val="24"/>
                    </w:rPr>
                    <w:t>5</w:t>
                  </w:r>
                </w:p>
              </w:tc>
              <w:tc>
                <w:tcPr>
                  <w:tcW w:type="dxa" w:w="5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right="210"/>
                    <w:jc w:val="center"/>
                  </w:pPr>
                  <w:r>
                    <w:rPr>
                      <w:rFonts w:ascii="仿宋_GB2312" w:hAnsi="仿宋_GB2312" w:cs="仿宋_GB2312" w:eastAsia="仿宋_GB2312"/>
                      <w:sz w:val="24"/>
                    </w:rPr>
                    <w:t>移动式秸秆粉碎压块机</w:t>
                  </w:r>
                </w:p>
              </w:tc>
              <w:tc>
                <w:tcPr>
                  <w:tcW w:type="dxa" w:w="2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1</w:t>
                  </w:r>
                </w:p>
              </w:tc>
              <w:tc>
                <w:tcPr>
                  <w:tcW w:type="dxa" w:w="1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功率：单缸</w:t>
                  </w:r>
                  <w:r>
                    <w:rPr>
                      <w:rFonts w:ascii="仿宋_GB2312" w:hAnsi="仿宋_GB2312" w:cs="仿宋_GB2312" w:eastAsia="仿宋_GB2312"/>
                      <w:sz w:val="24"/>
                    </w:rPr>
                    <w:t>≥32马力</w:t>
                  </w:r>
                </w:p>
                <w:p>
                  <w:pPr>
                    <w:pStyle w:val="null3"/>
                    <w:jc w:val="both"/>
                  </w:pPr>
                  <w:r>
                    <w:rPr>
                      <w:rFonts w:ascii="仿宋_GB2312" w:hAnsi="仿宋_GB2312" w:cs="仿宋_GB2312" w:eastAsia="仿宋_GB2312"/>
                      <w:sz w:val="24"/>
                    </w:rPr>
                    <w:t>档位数：</w:t>
                  </w:r>
                  <w:r>
                    <w:rPr>
                      <w:rFonts w:ascii="仿宋_GB2312" w:hAnsi="仿宋_GB2312" w:cs="仿宋_GB2312" w:eastAsia="仿宋_GB2312"/>
                      <w:sz w:val="24"/>
                    </w:rPr>
                    <w:t>≥4</w:t>
                  </w:r>
                </w:p>
                <w:p>
                  <w:pPr>
                    <w:pStyle w:val="null3"/>
                    <w:jc w:val="both"/>
                  </w:pPr>
                  <w:r>
                    <w:rPr>
                      <w:rFonts w:ascii="仿宋_GB2312" w:hAnsi="仿宋_GB2312" w:cs="仿宋_GB2312" w:eastAsia="仿宋_GB2312"/>
                      <w:sz w:val="24"/>
                    </w:rPr>
                    <w:t>工作效率：</w:t>
                  </w:r>
                  <w:r>
                    <w:rPr>
                      <w:rFonts w:ascii="仿宋_GB2312" w:hAnsi="仿宋_GB2312" w:cs="仿宋_GB2312" w:eastAsia="仿宋_GB2312"/>
                      <w:sz w:val="24"/>
                    </w:rPr>
                    <w:t>≥120包/h</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75" w:right="75" w:firstLine="109"/>
                    <w:jc w:val="center"/>
                  </w:pPr>
                  <w:r>
                    <w:rPr>
                      <w:rFonts w:ascii="仿宋_GB2312" w:hAnsi="仿宋_GB2312" w:cs="仿宋_GB2312" w:eastAsia="仿宋_GB2312"/>
                      <w:sz w:val="24"/>
                    </w:rPr>
                    <w:t>台</w:t>
                  </w:r>
                </w:p>
              </w:tc>
            </w:tr>
            <w:tr>
              <w:tc>
                <w:tcPr>
                  <w:tcW w:type="dxa" w:w="1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0"/>
                    <w:jc w:val="both"/>
                  </w:pPr>
                  <w:r>
                    <w:rPr>
                      <w:rFonts w:ascii="仿宋_GB2312" w:hAnsi="仿宋_GB2312" w:cs="仿宋_GB2312" w:eastAsia="仿宋_GB2312"/>
                      <w:sz w:val="24"/>
                    </w:rPr>
                    <w:t>6</w:t>
                  </w:r>
                </w:p>
              </w:tc>
              <w:tc>
                <w:tcPr>
                  <w:tcW w:type="dxa" w:w="5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75" w:right="75" w:firstLine="109"/>
                    <w:jc w:val="center"/>
                  </w:pPr>
                  <w:r>
                    <w:rPr>
                      <w:rFonts w:ascii="仿宋_GB2312" w:hAnsi="仿宋_GB2312" w:cs="仿宋_GB2312" w:eastAsia="仿宋_GB2312"/>
                      <w:sz w:val="24"/>
                    </w:rPr>
                    <w:t>装载机</w:t>
                  </w:r>
                </w:p>
              </w:tc>
              <w:tc>
                <w:tcPr>
                  <w:tcW w:type="dxa" w:w="2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1</w:t>
                  </w:r>
                </w:p>
              </w:tc>
              <w:tc>
                <w:tcPr>
                  <w:tcW w:type="dxa" w:w="1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额定载质量：</w:t>
                  </w:r>
                  <w:r>
                    <w:rPr>
                      <w:rFonts w:ascii="仿宋_GB2312" w:hAnsi="仿宋_GB2312" w:cs="仿宋_GB2312" w:eastAsia="仿宋_GB2312"/>
                      <w:sz w:val="24"/>
                    </w:rPr>
                    <w:t>≥1800kg</w:t>
                  </w:r>
                </w:p>
                <w:p>
                  <w:pPr>
                    <w:pStyle w:val="null3"/>
                    <w:jc w:val="both"/>
                  </w:pPr>
                  <w:r>
                    <w:rPr>
                      <w:rFonts w:ascii="仿宋_GB2312" w:hAnsi="仿宋_GB2312" w:cs="仿宋_GB2312" w:eastAsia="仿宋_GB2312"/>
                      <w:sz w:val="24"/>
                    </w:rPr>
                    <w:t>额定斗容：</w:t>
                  </w:r>
                  <w:r>
                    <w:rPr>
                      <w:rFonts w:ascii="仿宋_GB2312" w:hAnsi="仿宋_GB2312" w:cs="仿宋_GB2312" w:eastAsia="仿宋_GB2312"/>
                      <w:sz w:val="24"/>
                    </w:rPr>
                    <w:t>≥0.8</w:t>
                  </w:r>
                  <w:r>
                    <w:rPr>
                      <w:rFonts w:ascii="仿宋_GB2312" w:hAnsi="仿宋_GB2312" w:cs="仿宋_GB2312" w:eastAsia="仿宋_GB2312"/>
                      <w:sz w:val="24"/>
                    </w:rPr>
                    <w:t>m³</w:t>
                  </w:r>
                </w:p>
                <w:p>
                  <w:pPr>
                    <w:pStyle w:val="null3"/>
                    <w:jc w:val="both"/>
                  </w:pPr>
                  <w:r>
                    <w:rPr>
                      <w:rFonts w:ascii="仿宋_GB2312" w:hAnsi="仿宋_GB2312" w:cs="仿宋_GB2312" w:eastAsia="仿宋_GB2312"/>
                      <w:sz w:val="24"/>
                    </w:rPr>
                    <w:t>配套功率：</w:t>
                  </w:r>
                  <w:r>
                    <w:rPr>
                      <w:rFonts w:ascii="仿宋_GB2312" w:hAnsi="仿宋_GB2312" w:cs="仿宋_GB2312" w:eastAsia="仿宋_GB2312"/>
                      <w:sz w:val="24"/>
                    </w:rPr>
                    <w:t>≥</w:t>
                  </w:r>
                  <w:r>
                    <w:rPr>
                      <w:rFonts w:ascii="仿宋_GB2312" w:hAnsi="仿宋_GB2312" w:cs="仿宋_GB2312" w:eastAsia="仿宋_GB2312"/>
                      <w:sz w:val="24"/>
                    </w:rPr>
                    <w:t>58kw</w:t>
                  </w:r>
                </w:p>
                <w:p>
                  <w:pPr>
                    <w:pStyle w:val="null3"/>
                    <w:jc w:val="both"/>
                  </w:pPr>
                  <w:r>
                    <w:rPr>
                      <w:rFonts w:ascii="仿宋_GB2312" w:hAnsi="仿宋_GB2312" w:cs="仿宋_GB2312" w:eastAsia="仿宋_GB2312"/>
                      <w:sz w:val="24"/>
                    </w:rPr>
                    <w:t>卸载高度：</w:t>
                  </w:r>
                  <w:r>
                    <w:rPr>
                      <w:rFonts w:ascii="仿宋_GB2312" w:hAnsi="仿宋_GB2312" w:cs="仿宋_GB2312" w:eastAsia="仿宋_GB2312"/>
                      <w:sz w:val="24"/>
                    </w:rPr>
                    <w:t>≥3200mm</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75" w:right="75" w:firstLine="109"/>
                    <w:jc w:val="center"/>
                  </w:pPr>
                  <w:r>
                    <w:rPr>
                      <w:rFonts w:ascii="仿宋_GB2312" w:hAnsi="仿宋_GB2312" w:cs="仿宋_GB2312" w:eastAsia="仿宋_GB2312"/>
                      <w:sz w:val="24"/>
                    </w:rPr>
                    <w:t>台</w:t>
                  </w:r>
                </w:p>
              </w:tc>
            </w:tr>
            <w:tr>
              <w:tc>
                <w:tcPr>
                  <w:tcW w:type="dxa" w:w="1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0"/>
                    <w:jc w:val="both"/>
                  </w:pPr>
                  <w:r>
                    <w:rPr>
                      <w:rFonts w:ascii="仿宋_GB2312" w:hAnsi="仿宋_GB2312" w:cs="仿宋_GB2312" w:eastAsia="仿宋_GB2312"/>
                      <w:sz w:val="24"/>
                    </w:rPr>
                    <w:t>7</w:t>
                  </w:r>
                </w:p>
              </w:tc>
              <w:tc>
                <w:tcPr>
                  <w:tcW w:type="dxa" w:w="5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right="75"/>
                    <w:jc w:val="center"/>
                  </w:pPr>
                  <w:r>
                    <w:rPr>
                      <w:rFonts w:ascii="仿宋_GB2312" w:hAnsi="仿宋_GB2312" w:cs="仿宋_GB2312" w:eastAsia="仿宋_GB2312"/>
                      <w:sz w:val="24"/>
                    </w:rPr>
                    <w:t>履带式小型收割机</w:t>
                  </w:r>
                </w:p>
              </w:tc>
              <w:tc>
                <w:tcPr>
                  <w:tcW w:type="dxa" w:w="2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1</w:t>
                  </w:r>
                </w:p>
              </w:tc>
              <w:tc>
                <w:tcPr>
                  <w:tcW w:type="dxa" w:w="1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结构形式：履带乘坐式</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割台工作宽度：</w:t>
                  </w:r>
                  <w:r>
                    <w:rPr>
                      <w:rFonts w:ascii="仿宋_GB2312" w:hAnsi="仿宋_GB2312" w:cs="仿宋_GB2312" w:eastAsia="仿宋_GB2312"/>
                      <w:sz w:val="24"/>
                    </w:rPr>
                    <w:t>≥1200mm</w:t>
                  </w:r>
                </w:p>
                <w:p>
                  <w:pPr>
                    <w:pStyle w:val="null3"/>
                    <w:jc w:val="both"/>
                  </w:pPr>
                  <w:r>
                    <w:rPr>
                      <w:rFonts w:ascii="仿宋_GB2312" w:hAnsi="仿宋_GB2312" w:cs="仿宋_GB2312" w:eastAsia="仿宋_GB2312"/>
                      <w:sz w:val="24"/>
                    </w:rPr>
                    <w:t>作业小时生产率：</w:t>
                  </w:r>
                  <w:r>
                    <w:rPr>
                      <w:rFonts w:ascii="仿宋_GB2312" w:hAnsi="仿宋_GB2312" w:cs="仿宋_GB2312" w:eastAsia="仿宋_GB2312"/>
                      <w:sz w:val="24"/>
                    </w:rPr>
                    <w:t>≥0.06h㎡/h</w:t>
                  </w:r>
                </w:p>
                <w:p>
                  <w:pPr>
                    <w:pStyle w:val="null3"/>
                    <w:jc w:val="both"/>
                  </w:pPr>
                  <w:r>
                    <w:rPr>
                      <w:rFonts w:ascii="仿宋_GB2312" w:hAnsi="仿宋_GB2312" w:cs="仿宋_GB2312" w:eastAsia="仿宋_GB2312"/>
                      <w:sz w:val="24"/>
                    </w:rPr>
                    <w:t>配套内燃机标定功率：</w:t>
                  </w:r>
                  <w:r>
                    <w:rPr>
                      <w:rFonts w:ascii="仿宋_GB2312" w:hAnsi="仿宋_GB2312" w:cs="仿宋_GB2312" w:eastAsia="仿宋_GB2312"/>
                      <w:sz w:val="24"/>
                    </w:rPr>
                    <w:t>≥9.2KW ★</w:t>
                  </w:r>
                </w:p>
                <w:p>
                  <w:pPr>
                    <w:pStyle w:val="null3"/>
                    <w:jc w:val="both"/>
                  </w:pPr>
                  <w:r>
                    <w:rPr>
                      <w:rFonts w:ascii="仿宋_GB2312" w:hAnsi="仿宋_GB2312" w:cs="仿宋_GB2312" w:eastAsia="仿宋_GB2312"/>
                      <w:sz w:val="24"/>
                    </w:rPr>
                    <w:t>排放标准：国四</w:t>
                  </w:r>
                </w:p>
                <w:p>
                  <w:pPr>
                    <w:pStyle w:val="null3"/>
                    <w:jc w:val="both"/>
                  </w:pPr>
                  <w:r>
                    <w:rPr>
                      <w:rFonts w:ascii="仿宋_GB2312" w:hAnsi="仿宋_GB2312" w:cs="仿宋_GB2312" w:eastAsia="仿宋_GB2312"/>
                      <w:sz w:val="24"/>
                    </w:rPr>
                    <w:t>配套内燃机标定转速：</w:t>
                  </w:r>
                  <w:r>
                    <w:rPr>
                      <w:rFonts w:ascii="仿宋_GB2312" w:hAnsi="仿宋_GB2312" w:cs="仿宋_GB2312" w:eastAsia="仿宋_GB2312"/>
                      <w:sz w:val="24"/>
                    </w:rPr>
                    <w:t>≥3600r/min</w:t>
                  </w:r>
                </w:p>
                <w:p>
                  <w:pPr>
                    <w:pStyle w:val="null3"/>
                    <w:jc w:val="both"/>
                  </w:pPr>
                  <w:r>
                    <w:rPr>
                      <w:rFonts w:ascii="仿宋_GB2312" w:hAnsi="仿宋_GB2312" w:cs="仿宋_GB2312" w:eastAsia="仿宋_GB2312"/>
                      <w:sz w:val="24"/>
                    </w:rPr>
                    <w:t>配套内燃机起动方式：电起动</w:t>
                  </w:r>
                </w:p>
                <w:p>
                  <w:pPr>
                    <w:pStyle w:val="null3"/>
                    <w:jc w:val="both"/>
                  </w:pPr>
                  <w:r>
                    <w:rPr>
                      <w:rFonts w:ascii="仿宋_GB2312" w:hAnsi="仿宋_GB2312" w:cs="仿宋_GB2312" w:eastAsia="仿宋_GB2312"/>
                      <w:sz w:val="24"/>
                    </w:rPr>
                    <w:t>配套内燃机种类：柴油</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冷却方式：风冷</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割台型式：卧式</w:t>
                  </w:r>
                </w:p>
                <w:p>
                  <w:pPr>
                    <w:pStyle w:val="null3"/>
                    <w:jc w:val="both"/>
                  </w:pPr>
                  <w:r>
                    <w:rPr>
                      <w:rFonts w:ascii="仿宋_GB2312" w:hAnsi="仿宋_GB2312" w:cs="仿宋_GB2312" w:eastAsia="仿宋_GB2312"/>
                      <w:sz w:val="24"/>
                    </w:rPr>
                    <w:t>注：</w:t>
                  </w:r>
                  <w:r>
                    <w:rPr>
                      <w:rFonts w:ascii="仿宋_GB2312" w:hAnsi="仿宋_GB2312" w:cs="仿宋_GB2312" w:eastAsia="仿宋_GB2312"/>
                      <w:sz w:val="24"/>
                    </w:rPr>
                    <w:t>“★”提供检验报告</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75" w:right="75" w:firstLine="109"/>
                    <w:jc w:val="center"/>
                  </w:pPr>
                  <w:r>
                    <w:rPr>
                      <w:rFonts w:ascii="仿宋_GB2312" w:hAnsi="仿宋_GB2312" w:cs="仿宋_GB2312" w:eastAsia="仿宋_GB2312"/>
                      <w:sz w:val="24"/>
                    </w:rPr>
                    <w:t>台</w:t>
                  </w:r>
                </w:p>
              </w:tc>
            </w:tr>
          </w:tbl>
          <w:p>
            <w:pPr>
              <w:pStyle w:val="null3"/>
              <w:ind w:firstLine="560"/>
              <w:jc w:val="both"/>
            </w:pPr>
            <w:r>
              <w:rPr>
                <w:rFonts w:ascii="仿宋_GB2312" w:hAnsi="仿宋_GB2312" w:cs="仿宋_GB2312" w:eastAsia="仿宋_GB2312"/>
                <w:sz w:val="28"/>
              </w:rPr>
              <w:t>注：带</w:t>
            </w:r>
            <w:r>
              <w:rPr>
                <w:rFonts w:ascii="仿宋_GB2312" w:hAnsi="仿宋_GB2312" w:cs="仿宋_GB2312" w:eastAsia="仿宋_GB2312"/>
                <w:sz w:val="28"/>
              </w:rPr>
              <w:t>“★”的参数需求为实质性要求，供应商必须响应并满足参数需求，供应商应在响应文件提供能够证明所投产品技术参数的证明材料，有一项负偏离或无证明材料，视该供应商为无效响应。</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签订采购合同后15天以内完成交付</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略阳县白水江镇梁家湾村</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设备供应到位</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安装调试完成后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本项目采购人将严格按照国家行业相关法律法规要求进行验收。根据谈判文件、供应商的响应文件、国家及行业有关规定，实现各系统能够正常运行，最终达到合格标准。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供应商具有独立承担民事责任能力的法人、其他组织或自然人，提供合法有效的统一社会信用代码营业执照或事业单位法人证书（自然人应提供身份证明）；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法定代表人直接参加谈判的，须出具法定代表人（单位负责人）身份证明。法定代表人授权代表参加谈判的，须出具法定代表人（单位负责人）授权委托书及被授权人身份证复印件；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 www. ccgp.gov.cn )；（供应商应按照汉中市财政局《关于全面推行政府采购供应商基本资格条件承诺制的通知》（汉采办采管〔2024〕20号）文件要求，需提供加盖公章的《汉中市政府采购供应商资格承诺函》）。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供应商其法定代表人/负责人，不得被列入失信被执行人。</w:t>
            </w:r>
          </w:p>
        </w:tc>
        <w:tc>
          <w:tcPr>
            <w:tcW w:type="dxa" w:w="3322"/>
          </w:tcPr>
          <w:p>
            <w:pPr>
              <w:pStyle w:val="null3"/>
            </w:pPr>
            <w:r>
              <w:rPr>
                <w:rFonts w:ascii="仿宋_GB2312" w:hAnsi="仿宋_GB2312" w:cs="仿宋_GB2312" w:eastAsia="仿宋_GB2312"/>
              </w:rPr>
              <w:t>提供法定代表人/负责人，在中国执行信息公开网、中国裁判文书网的截图及承诺书（格式自拟）。</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供应商名称是否与营业执照一致</w:t>
            </w:r>
          </w:p>
        </w:tc>
        <w:tc>
          <w:tcPr>
            <w:tcW w:type="dxa" w:w="3322"/>
          </w:tcPr>
          <w:p>
            <w:pPr>
              <w:pStyle w:val="null3"/>
            </w:pPr>
            <w:r>
              <w:rPr>
                <w:rFonts w:ascii="仿宋_GB2312" w:hAnsi="仿宋_GB2312" w:cs="仿宋_GB2312" w:eastAsia="仿宋_GB2312"/>
              </w:rPr>
              <w:t>供应商名称是否与营业执照一致</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符合竞争性谈判文件要求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授权委托书委托期限</w:t>
            </w:r>
          </w:p>
        </w:tc>
        <w:tc>
          <w:tcPr>
            <w:tcW w:type="dxa" w:w="3322"/>
          </w:tcPr>
          <w:p>
            <w:pPr>
              <w:pStyle w:val="null3"/>
            </w:pPr>
            <w:r>
              <w:rPr>
                <w:rFonts w:ascii="仿宋_GB2312" w:hAnsi="仿宋_GB2312" w:cs="仿宋_GB2312" w:eastAsia="仿宋_GB2312"/>
              </w:rPr>
              <w:t>不得少于响应有效期</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响应文件是否按竞争性谈判文件要求签署、盖章的</w:t>
            </w:r>
          </w:p>
        </w:tc>
        <w:tc>
          <w:tcPr>
            <w:tcW w:type="dxa" w:w="3322"/>
          </w:tcPr>
          <w:p>
            <w:pPr>
              <w:pStyle w:val="null3"/>
            </w:pPr>
            <w:r>
              <w:rPr>
                <w:rFonts w:ascii="仿宋_GB2312" w:hAnsi="仿宋_GB2312" w:cs="仿宋_GB2312" w:eastAsia="仿宋_GB2312"/>
              </w:rPr>
              <w:t>响应文件是否按竞争性谈判文件要求签署、盖章的</w:t>
            </w:r>
          </w:p>
        </w:tc>
        <w:tc>
          <w:tcPr>
            <w:tcW w:type="dxa" w:w="1661"/>
          </w:tcPr>
          <w:p>
            <w:pPr>
              <w:pStyle w:val="null3"/>
            </w:pPr>
            <w:r>
              <w:rPr>
                <w:rFonts w:ascii="仿宋_GB2312" w:hAnsi="仿宋_GB2312" w:cs="仿宋_GB2312" w:eastAsia="仿宋_GB2312"/>
              </w:rPr>
              <w:t>响应文件封面 产品技术参数表 供应商应提交的相关资格证明材料.docx 中小企业声明函 残疾人福利性单位声明函 商务应答表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是否发现法律、法规和竞争性谈判文件规定的其他无效情形</w:t>
            </w:r>
          </w:p>
        </w:tc>
        <w:tc>
          <w:tcPr>
            <w:tcW w:type="dxa" w:w="3322"/>
          </w:tcPr>
          <w:p>
            <w:pPr>
              <w:pStyle w:val="null3"/>
            </w:pPr>
            <w:r>
              <w:rPr>
                <w:rFonts w:ascii="仿宋_GB2312" w:hAnsi="仿宋_GB2312" w:cs="仿宋_GB2312" w:eastAsia="仿宋_GB2312"/>
              </w:rPr>
              <w:t>响应文件不存在法律、法规和竞争性谈判文件规定的其他无效情形</w:t>
            </w:r>
          </w:p>
        </w:tc>
        <w:tc>
          <w:tcPr>
            <w:tcW w:type="dxa" w:w="1661"/>
          </w:tcPr>
          <w:p>
            <w:pPr>
              <w:pStyle w:val="null3"/>
            </w:pPr>
            <w:r>
              <w:rPr>
                <w:rFonts w:ascii="仿宋_GB2312" w:hAnsi="仿宋_GB2312" w:cs="仿宋_GB2312" w:eastAsia="仿宋_GB2312"/>
              </w:rPr>
              <w:t>响应文件封面 产品技术参数表 供应商应提交的相关资格证明材料.docx 中小企业声明函 残疾人福利性单位声明函 商务应答表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产品技术参数</w:t>
            </w:r>
          </w:p>
        </w:tc>
        <w:tc>
          <w:tcPr>
            <w:tcW w:type="dxa" w:w="3322"/>
          </w:tcPr>
          <w:p>
            <w:pPr>
              <w:pStyle w:val="null3"/>
            </w:pPr>
            <w:r>
              <w:rPr>
                <w:rFonts w:ascii="仿宋_GB2312" w:hAnsi="仿宋_GB2312" w:cs="仿宋_GB2312" w:eastAsia="仿宋_GB2312"/>
              </w:rPr>
              <w:t>产品技术参数满足采购文件要求</w:t>
            </w:r>
          </w:p>
        </w:tc>
        <w:tc>
          <w:tcPr>
            <w:tcW w:type="dxa" w:w="1661"/>
          </w:tcPr>
          <w:p>
            <w:pPr>
              <w:pStyle w:val="null3"/>
            </w:pPr>
            <w:r>
              <w:rPr>
                <w:rFonts w:ascii="仿宋_GB2312" w:hAnsi="仿宋_GB2312" w:cs="仿宋_GB2312" w:eastAsia="仿宋_GB2312"/>
              </w:rPr>
              <w:t>产品技术参数表</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8305"/>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详见附件：拟签订采购合同文本（谈判货物）.docx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