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版本号：zchz-zb-2025-35号20251231001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略阳县青白石流域白雀寺镇农村供水改造及管网延伸工程设计采购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zchz-zb-2025-35号</w:t>
      </w:r>
      <w:r>
        <w:br/>
      </w:r>
      <w:r>
        <w:br/>
      </w:r>
      <w:r>
        <w:br/>
      </w:r>
    </w:p>
    <w:p>
      <w:pPr>
        <w:pStyle w:val="null3"/>
        <w:jc w:val="center"/>
        <w:outlineLvl w:val="2"/>
      </w:pPr>
      <w:r>
        <w:rPr>
          <w:rFonts w:ascii="仿宋_GB2312" w:hAnsi="仿宋_GB2312" w:cs="仿宋_GB2312" w:eastAsia="仿宋_GB2312"/>
          <w:sz w:val="28"/>
          <w:b/>
        </w:rPr>
        <w:t>略阳县水利工程管理服务中心</w:t>
      </w:r>
    </w:p>
    <w:p>
      <w:pPr>
        <w:pStyle w:val="null3"/>
        <w:jc w:val="center"/>
        <w:outlineLvl w:val="2"/>
      </w:pPr>
      <w:r>
        <w:rPr>
          <w:rFonts w:ascii="仿宋_GB2312" w:hAnsi="仿宋_GB2312" w:cs="仿宋_GB2312" w:eastAsia="仿宋_GB2312"/>
          <w:sz w:val="28"/>
          <w:b/>
        </w:rPr>
        <w:t>中创名建工程管理集团有限公司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中创名建工程管理集团有限公司</w:t>
      </w:r>
      <w:r>
        <w:rPr>
          <w:rFonts w:ascii="仿宋_GB2312" w:hAnsi="仿宋_GB2312" w:cs="仿宋_GB2312" w:eastAsia="仿宋_GB2312"/>
        </w:rPr>
        <w:t>（以下简称“代理机构”）受</w:t>
      </w:r>
      <w:r>
        <w:rPr>
          <w:rFonts w:ascii="仿宋_GB2312" w:hAnsi="仿宋_GB2312" w:cs="仿宋_GB2312" w:eastAsia="仿宋_GB2312"/>
        </w:rPr>
        <w:t>略阳县水利工程管理服务中心</w:t>
      </w:r>
      <w:r>
        <w:rPr>
          <w:rFonts w:ascii="仿宋_GB2312" w:hAnsi="仿宋_GB2312" w:cs="仿宋_GB2312" w:eastAsia="仿宋_GB2312"/>
        </w:rPr>
        <w:t>委托，拟对</w:t>
      </w:r>
      <w:r>
        <w:rPr>
          <w:rFonts w:ascii="仿宋_GB2312" w:hAnsi="仿宋_GB2312" w:cs="仿宋_GB2312" w:eastAsia="仿宋_GB2312"/>
        </w:rPr>
        <w:t>略阳县青白石流域白雀寺镇农村供水改造及管网延伸工程设计采购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zchz-zb-2025-35号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略阳县青白石流域白雀寺镇农村供水改造及管网延伸工程设计采购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略阳县青白石流域白雀寺镇农村供水改造及管网延伸工程初步设计和施工图设计。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采购包1（略阳县青白石流域白雀寺镇农村供水改造及管网延伸工程设计采购）：属于专门面向中小企业采购。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1、企业资质及项目负责人资质：供应商需具备工程设计资质证书水利行业乙级及以上资质。拟派项目负责人须具有水利工程相关专业中级及以上技术职称。</w:t>
      </w:r>
    </w:p>
    <w:p>
      <w:pPr>
        <w:pStyle w:val="null3"/>
      </w:pPr>
      <w:r>
        <w:rPr>
          <w:rFonts w:ascii="仿宋_GB2312" w:hAnsi="仿宋_GB2312" w:cs="仿宋_GB2312" w:eastAsia="仿宋_GB2312"/>
        </w:rPr>
        <w:t>2、营业执照：具有独立承担民事责任能力的法人、其他组织或自然人，并出具合法有效的营业执照或事业单位法人证书等国家规定的相关证明，自然人参与的提供其身份证明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3、法定代表人证明及授权书：法定代表人授权委托书(附法定代表人身份证复印件)及被授权委托人身份证(法定代表人参加投标须提供法定代表人身份证及法人身份证明);</w:t>
      </w:r>
    </w:p>
    <w:p>
      <w:pPr>
        <w:pStyle w:val="null3"/>
      </w:pPr>
      <w:r>
        <w:rPr>
          <w:rFonts w:ascii="仿宋_GB2312" w:hAnsi="仿宋_GB2312" w:cs="仿宋_GB2312" w:eastAsia="仿宋_GB2312"/>
        </w:rPr>
        <w:t>4、承诺函：供应商须具有健全的财务会计制度、具有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略阳县水利工程管理服务中心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略阳县城东关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略阳县水利工程管理服务中心经办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18091675918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中创名建工程管理集团有限公司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陕西省汉中市汉台区北一环路友谊公司院内二楼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19992619393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开户名称：中创名建工程管理集团有限公司汉中汉台分公司</w:t>
            </w:r>
          </w:p>
          <w:p>
            <w:pPr>
              <w:pStyle w:val="null3"/>
            </w:pPr>
            <w:r>
              <w:rPr>
                <w:rFonts w:ascii="仿宋_GB2312" w:hAnsi="仿宋_GB2312" w:cs="仿宋_GB2312" w:eastAsia="仿宋_GB2312"/>
              </w:rPr>
              <w:t>开户银行：中创名建工程管理集团有限公司汉中汉台分公司</w:t>
            </w:r>
          </w:p>
          <w:p>
            <w:pPr>
              <w:pStyle w:val="null3"/>
            </w:pPr>
            <w:r>
              <w:rPr>
                <w:rFonts w:ascii="仿宋_GB2312" w:hAnsi="仿宋_GB2312" w:cs="仿宋_GB2312" w:eastAsia="仿宋_GB2312"/>
              </w:rPr>
              <w:t>银行账号：2606 0540 1920 0057 777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 号规定计取（不足3000元的，统一按3000元收取）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略阳县水利工程管理服务中心</w:t>
      </w:r>
      <w:r>
        <w:rPr>
          <w:rFonts w:ascii="仿宋_GB2312" w:hAnsi="仿宋_GB2312" w:cs="仿宋_GB2312" w:eastAsia="仿宋_GB2312"/>
        </w:rPr>
        <w:t>和</w:t>
      </w:r>
      <w:r>
        <w:rPr>
          <w:rFonts w:ascii="仿宋_GB2312" w:hAnsi="仿宋_GB2312" w:cs="仿宋_GB2312" w:eastAsia="仿宋_GB2312"/>
        </w:rPr>
        <w:t>中创名建工程管理集团有限公司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略阳县水利工程管理服务中心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中创名建工程管理集团有限公司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略阳县水利工程管理服务中心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中创名建工程管理集团有限公司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联系人：周女士</w:t>
      </w:r>
    </w:p>
    <w:p>
      <w:pPr>
        <w:pStyle w:val="null3"/>
      </w:pPr>
      <w:r>
        <w:rPr>
          <w:rFonts w:ascii="仿宋_GB2312" w:hAnsi="仿宋_GB2312" w:cs="仿宋_GB2312" w:eastAsia="仿宋_GB2312"/>
        </w:rPr>
        <w:t>联系电话：19992619393</w:t>
      </w:r>
    </w:p>
    <w:p>
      <w:pPr>
        <w:pStyle w:val="null3"/>
      </w:pPr>
      <w:r>
        <w:rPr>
          <w:rFonts w:ascii="仿宋_GB2312" w:hAnsi="仿宋_GB2312" w:cs="仿宋_GB2312" w:eastAsia="仿宋_GB2312"/>
        </w:rPr>
        <w:t>地址：陕西省汉中市汉台区北一环路友谊公司院内二楼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略阳县青白石流域白雀寺镇农村供水改造及管网延伸工程初步设计和施工图设计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略阳县青白石流域白雀寺镇农村供水改造及管网延伸工程设计采购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标的名称：略阳县青白石流域白雀寺镇农村供水改造及管网延伸工程设计采购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设计内容包括:初步设计和施工图设计</w:t>
            </w:r>
          </w:p>
          <w:p>
            <w:pPr>
              <w:pStyle w:val="null3"/>
            </w:pPr>
            <w:r>
              <w:rPr>
                <w:rFonts w:ascii="仿宋_GB2312" w:hAnsi="仿宋_GB2312" w:cs="仿宋_GB2312" w:eastAsia="仿宋_GB2312"/>
              </w:rPr>
              <w:t>设计范围:白雀寺镇，惠及2400户12000人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自签订合同之日起30个日历天完成初步设计编制工作，并通过专家评审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企业资质及项目负责人资质</w:t>
            </w:r>
          </w:p>
        </w:tc>
        <w:tc>
          <w:tcPr>
            <w:tcW w:type="dxa" w:w="3322"/>
          </w:tcPr>
          <w:p>
            <w:pPr>
              <w:pStyle w:val="null3"/>
            </w:pPr>
            <w:r>
              <w:rPr>
                <w:rFonts w:ascii="仿宋_GB2312" w:hAnsi="仿宋_GB2312" w:cs="仿宋_GB2312" w:eastAsia="仿宋_GB2312"/>
              </w:rPr>
              <w:t>供应商需具备工程设计资质证书水利行业乙级及以上资质。拟派项目负责人须具有水利工程相关专业中级及以上技术职称。</w:t>
            </w:r>
          </w:p>
        </w:tc>
        <w:tc>
          <w:tcPr>
            <w:tcW w:type="dxa" w:w="1661"/>
          </w:tcPr>
          <w:p>
            <w:pPr>
              <w:pStyle w:val="null3"/>
            </w:pPr>
            <w:r>
              <w:rPr>
                <w:rFonts w:ascii="仿宋_GB2312" w:hAnsi="仿宋_GB2312" w:cs="仿宋_GB2312" w:eastAsia="仿宋_GB2312"/>
              </w:rPr>
              <w:t>资质.docx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主体资格证明文件.docx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法定代表人授权委托书(附法定代表人身份证复印件)及被授权委托人身份证(法定代表人参加投标须提供法定代表人身份证及法人身份证明);</w:t>
            </w:r>
          </w:p>
        </w:tc>
        <w:tc>
          <w:tcPr>
            <w:tcW w:type="dxa" w:w="1661"/>
          </w:tcPr>
          <w:p>
            <w:pPr>
              <w:pStyle w:val="null3"/>
            </w:pPr>
            <w:r>
              <w:rPr>
                <w:rFonts w:ascii="仿宋_GB2312" w:hAnsi="仿宋_GB2312" w:cs="仿宋_GB2312" w:eastAsia="仿宋_GB2312"/>
              </w:rPr>
              <w:t>法定代表人证明书及授权书.docx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具有健全的财务会计制度、具有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响应文件应按照竞争性磋商文件要求签署、盖章</w:t>
            </w:r>
          </w:p>
        </w:tc>
        <w:tc>
          <w:tcPr>
            <w:tcW w:type="dxa" w:w="1661"/>
          </w:tcPr>
          <w:p>
            <w:pPr>
              <w:pStyle w:val="null3"/>
            </w:pPr>
            <w:r>
              <w:rPr>
                <w:rFonts w:ascii="仿宋_GB2312" w:hAnsi="仿宋_GB2312" w:cs="仿宋_GB2312" w:eastAsia="仿宋_GB2312"/>
              </w:rPr>
              <w:t>服务内容及服务邀请应答表 主体资格证明文件.docx 中小企业声明函 商务应答表 报价表 汉中市政府采购供应商资格承诺函.docx 响应文件封面 残疾人福利性单位声明函 法定代表人证明书及授权书.docx 服务方案 标的清单 资质.docx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报价是否超过竞争性磋商文件中规定的预算金额或者最高限价</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服务内容及服务邀请应答表 主体资格证明文件.docx 中小企业声明函 商务应答表 报价表 汉中市政府采购供应商资格承诺函.docx 响应文件封面 残疾人福利性单位声明函 法定代表人证明书及授权书.docx 服务方案 标的清单 资质.docx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服务内容及服务邀请应答表 主体资格证明文件.docx 中小企业声明函 商务应答表 报价表 汉中市政府采购供应商资格承诺函.docx 响应文件封面 残疾人福利性单位声明函 法定代表人证明书及授权书.docx 服务方案 标的清单 资质.docx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未超过响应文件规定工期</w:t>
            </w:r>
          </w:p>
        </w:tc>
        <w:tc>
          <w:tcPr>
            <w:tcW w:type="dxa" w:w="1661"/>
          </w:tcPr>
          <w:p>
            <w:pPr>
              <w:pStyle w:val="null3"/>
            </w:pPr>
            <w:r>
              <w:rPr>
                <w:rFonts w:ascii="仿宋_GB2312" w:hAnsi="仿宋_GB2312" w:cs="仿宋_GB2312" w:eastAsia="仿宋_GB2312"/>
              </w:rPr>
              <w:t>服务内容及服务邀请应答表 主体资格证明文件.docx 中小企业声明函 商务应答表 报价表 汉中市政府采购供应商资格承诺函.docx 响应文件封面 残疾人福利性单位声明函 法定代表人证明书及授权书.docx 服务方案 标的清单 资质.docx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项目总体设计方案</w:t>
            </w:r>
          </w:p>
        </w:tc>
        <w:tc>
          <w:tcPr>
            <w:tcW w:type="dxa" w:w="2492"/>
          </w:tcPr>
          <w:p>
            <w:pPr>
              <w:pStyle w:val="null3"/>
            </w:pPr>
            <w:r>
              <w:rPr>
                <w:rFonts w:ascii="仿宋_GB2312" w:hAnsi="仿宋_GB2312" w:cs="仿宋_GB2312" w:eastAsia="仿宋_GB2312"/>
              </w:rPr>
              <w:t>深刻理解、全面把握需求，并结合项目的实际情况，能够针对性提出具体可行的①服务方案总体思路②各专项思路③工作计划及流程④技术路线及技术方法等综合评价。以上方案内容全面、针对性强、符合本项目特点的得满分20分，以上每缺少一项内容或内容非针对于本项目扣5分；每小项有一处缺陷扣1分，扣完为止，不提供不得分。 （缺陷是指：存在不适用项目实际情况的情形、凭空编造、内容前后不一致、前后逻辑错误、针对性不强、只有简单描述没有实质性内容、涉及的规范及标准错误、地点区域错误、内容缺失、不符合采购需求等)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对项目关键点、难点的理解及措施</w:t>
            </w:r>
          </w:p>
        </w:tc>
        <w:tc>
          <w:tcPr>
            <w:tcW w:type="dxa" w:w="2492"/>
          </w:tcPr>
          <w:p>
            <w:pPr>
              <w:pStyle w:val="null3"/>
            </w:pPr>
            <w:r>
              <w:rPr>
                <w:rFonts w:ascii="仿宋_GB2312" w:hAnsi="仿宋_GB2312" w:cs="仿宋_GB2312" w:eastAsia="仿宋_GB2312"/>
              </w:rPr>
              <w:t>根据供应商对本项目指定的①工作的重点、难点的认识②对关键环节的分析③采取的针对性措施等综合评价。以上方案内容全面、针对性强、符合本项目特点的得满分12分，以上每缺少一项内容或内容非针对于本项目扣4分；每小项有一处缺陷扣1分，扣完为止，不提供不得分。 （缺陷是指：存在不适用项目实际情况的情形、凭空编造、内容前后不一致、前后逻辑错误、针对性不强、只有简单描述没有实质性内容、涉及的规范及标准错误、地点区域错误、内容缺失、不符合采购需求等）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质量控制的程序、措 施和质量保证体系</w:t>
            </w:r>
          </w:p>
        </w:tc>
        <w:tc>
          <w:tcPr>
            <w:tcW w:type="dxa" w:w="2492"/>
          </w:tcPr>
          <w:p>
            <w:pPr>
              <w:pStyle w:val="null3"/>
            </w:pPr>
            <w:r>
              <w:rPr>
                <w:rFonts w:ascii="仿宋_GB2312" w:hAnsi="仿宋_GB2312" w:cs="仿宋_GB2312" w:eastAsia="仿宋_GB2312"/>
              </w:rPr>
              <w:t>根据供应商对本项目①质量控制的程序②质量控制措施③质量保证体系等综合评价。以上方案内容全面、针对性强、符合本项目特点的得满分12分，以上每缺少一项内容或内容非针对于本项目扣4分；每小项有一处缺陷扣1分，扣完为止，不提供不得分。 （缺陷是指：存在不适用项目实际情况的情形、凭空编造、内容前后不一致、前后逻辑错误、针对性不强、只有简单描述没有实质性内容、涉及的规范及标准错误、地点区域错误、内容缺失、不符合采购需求等）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工作进度安排计划及措施</w:t>
            </w:r>
          </w:p>
        </w:tc>
        <w:tc>
          <w:tcPr>
            <w:tcW w:type="dxa" w:w="2492"/>
          </w:tcPr>
          <w:p>
            <w:pPr>
              <w:pStyle w:val="null3"/>
            </w:pPr>
            <w:r>
              <w:rPr>
                <w:rFonts w:ascii="仿宋_GB2312" w:hAnsi="仿宋_GB2312" w:cs="仿宋_GB2312" w:eastAsia="仿宋_GB2312"/>
              </w:rPr>
              <w:t>根据项目的实际情况，提供对项目①总体计划安排②各专项任务的衔接③提供成果时间节点等进度计划④进度保证措施等综合评价。以上方案内容全面、针对性强、符合本项目特点的得满分12分，以上每缺少一项内容或内容非针对于本项目扣3分；每小项有一处缺陷扣1分，扣完为止，不提供不得分。 （缺陷是指：存在不适用项目实际情况的情形、凭空编造、内容前后不一致、前后逻辑错误、针对性不强、只有简单描述没有实质性内容、涉及的规范及标准错误、地点区域错误、内容缺失、不符合采购需求等）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人力资源配备情况</w:t>
            </w:r>
          </w:p>
        </w:tc>
        <w:tc>
          <w:tcPr>
            <w:tcW w:type="dxa" w:w="2492"/>
          </w:tcPr>
          <w:p>
            <w:pPr>
              <w:pStyle w:val="null3"/>
            </w:pPr>
            <w:r>
              <w:rPr>
                <w:rFonts w:ascii="仿宋_GB2312" w:hAnsi="仿宋_GB2312" w:cs="仿宋_GB2312" w:eastAsia="仿宋_GB2312"/>
              </w:rPr>
              <w:t>根据本项目拟投入①人员的结构②人员配置分工③人员信息④人员稳定性保障等综合评价。以上方案内容全面、针对性强、符合本项目特点的得满分8分，以上每缺少一项内容或内容非针对于本项目扣2分；每小项有一处缺陷扣1分，扣完为止，不提供不得分。（缺陷是指：存在不适用项目实际情况的情形、凭空编造、内容前后不一致、前后逻辑错误、针对性不强、只有简单描述没有实质性内容、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根据供应商提供的应急保障措施，包括但不限于①应急服务保障措施②重大或突发事件的人员配合③控制失误及其他相关服务等综合评价。以上方案内容全面、针对性强、符合本项目特点的得满分12分，以上每缺少一项内容或内容非针对于本项目扣分；每小项有一处缺陷扣1分，扣完为止，不提供不得分。（缺陷是指：存在不适用项目实际情况的情形、凭空编造、内容前后不一致、前后逻辑错误、针对性不强、只有简单描述没有实质性内容、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供应商提供2022年1月至今的类似业绩证明(每提供一份得1分),最高得4分(需提供中标通知书或合同复印件，业绩时间以签订施工合同时间为准)，未提供得0分。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后续服务工作安排计划</w:t>
            </w:r>
          </w:p>
        </w:tc>
        <w:tc>
          <w:tcPr>
            <w:tcW w:type="dxa" w:w="2492"/>
          </w:tcPr>
          <w:p>
            <w:pPr>
              <w:pStyle w:val="null3"/>
            </w:pPr>
            <w:r>
              <w:rPr>
                <w:rFonts w:ascii="仿宋_GB2312" w:hAnsi="仿宋_GB2312" w:cs="仿宋_GB2312" w:eastAsia="仿宋_GB2312"/>
              </w:rPr>
              <w:t>有完善的后续技术支持服务，根据供应商提供的①后期服务响应方案②服务承诺③对后续服务工作进度、人员④后续服务技术支持⑤服务措施。以上方案内容全面、针对性强、符合本项目特点的得满分10分，以上每缺少一项内容或内容非针对于本项目扣2分；每小项有一处缺陷扣1分，扣完为止，不提供不得分。（缺陷是指：存在不适用项目实际情况的情形、凭空编造、内容前后不一致、前后逻辑错误、针对性不强、只有简单描述没有实质性内容、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2、满足磋商文件要求且投标价格最低的投标报价为评标基准价，其价格分为满分。其他磋商供应商的价格分统一按照下列公式计算：磋商报价 得分=（评标基准价/磋商报价）×10%×100。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详见附件：主体资格证明文件.docx</w:t>
      </w:r>
    </w:p>
    <w:p>
      <w:pPr>
        <w:pStyle w:val="null3"/>
        <w:ind w:firstLine="960"/>
      </w:pPr>
      <w:r>
        <w:rPr>
          <w:rFonts w:ascii="仿宋_GB2312" w:hAnsi="仿宋_GB2312" w:cs="仿宋_GB2312" w:eastAsia="仿宋_GB2312"/>
        </w:rPr>
        <w:t>详见附件：法定代表人证明书及授权书.docx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详见附件：资质.docx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详见附件：合同书范本.docx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