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版本号：zchz-zb-2025-33号.1B120251228001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2025年金家河镇天台村农作物秸秆综合利用机械设备采购项目(二次)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zchz-zb-2025-33号.1B1</w:t>
      </w:r>
      <w:r>
        <w:br/>
      </w:r>
      <w:r>
        <w:br/>
      </w:r>
      <w:r>
        <w:br/>
      </w:r>
    </w:p>
    <w:p>
      <w:pPr>
        <w:pStyle w:val="null3"/>
        <w:jc w:val="center"/>
        <w:outlineLvl w:val="2"/>
      </w:pPr>
      <w:r>
        <w:rPr>
          <w:rFonts w:ascii="仿宋_GB2312" w:hAnsi="仿宋_GB2312" w:cs="仿宋_GB2312" w:eastAsia="仿宋_GB2312"/>
          <w:sz w:val="28"/>
          <w:b/>
        </w:rPr>
        <w:t>略阳县金家河镇人民政府</w:t>
      </w:r>
    </w:p>
    <w:p>
      <w:pPr>
        <w:pStyle w:val="null3"/>
        <w:jc w:val="center"/>
        <w:outlineLvl w:val="2"/>
      </w:pPr>
      <w:r>
        <w:rPr>
          <w:rFonts w:ascii="仿宋_GB2312" w:hAnsi="仿宋_GB2312" w:cs="仿宋_GB2312" w:eastAsia="仿宋_GB2312"/>
          <w:sz w:val="28"/>
          <w:b/>
        </w:rPr>
        <w:t>中创名建工程管理集团有限公司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中创名建工程管理集团有限公司</w:t>
      </w:r>
      <w:r>
        <w:rPr>
          <w:rFonts w:ascii="仿宋_GB2312" w:hAnsi="仿宋_GB2312" w:cs="仿宋_GB2312" w:eastAsia="仿宋_GB2312"/>
        </w:rPr>
        <w:t>（以下简称“代理机构”）受</w:t>
      </w:r>
      <w:r>
        <w:rPr>
          <w:rFonts w:ascii="仿宋_GB2312" w:hAnsi="仿宋_GB2312" w:cs="仿宋_GB2312" w:eastAsia="仿宋_GB2312"/>
        </w:rPr>
        <w:t>略阳县金家河镇人民政府</w:t>
      </w:r>
      <w:r>
        <w:rPr>
          <w:rFonts w:ascii="仿宋_GB2312" w:hAnsi="仿宋_GB2312" w:cs="仿宋_GB2312" w:eastAsia="仿宋_GB2312"/>
        </w:rPr>
        <w:t>委托，拟对</w:t>
      </w:r>
      <w:r>
        <w:rPr>
          <w:rFonts w:ascii="仿宋_GB2312" w:hAnsi="仿宋_GB2312" w:cs="仿宋_GB2312" w:eastAsia="仿宋_GB2312"/>
        </w:rPr>
        <w:t>2025年金家河镇天台村农作物秸秆综合利用机械设备采购项目(二次)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zchz-zb-2025-33号.1B1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2025年金家河镇天台村农作物秸秆综合利用机械设备采购项目(二次)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全自动秸秆打包生产线及托盘1套、农作物秸秆铡草操丝机及青贮饲料粉碎覆膜机1套、农作物秸秆转运机械2套、秸秆粉碎还田机及配套动力1台、油菜脱粒机3台。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采购包1（2025年金家河镇天台村农作物秸秆综合利用机械设备采购项目）：属于专门面向中小企业采购。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1、具有独立承担民事责任能力的法人、其他组织或自然人。：供应商需提供合法有效的统一社会信用代码营业执照（事业单位提供事业单位法人证书，自然人应提供身份证明文件）</w:t>
      </w:r>
    </w:p>
    <w:p>
      <w:pPr>
        <w:pStyle w:val="null3"/>
      </w:pPr>
      <w:r>
        <w:rPr>
          <w:rFonts w:ascii="仿宋_GB2312" w:hAnsi="仿宋_GB2312" w:cs="仿宋_GB2312" w:eastAsia="仿宋_GB2312"/>
        </w:rPr>
        <w:t>2、应授权合法的人员参加谈判全过程：法定代表人直接参加投标的，须出具法定代表人身份证，法定代表人授权委托代表人参加投标的，须出具法定代表人授权委托书及授权代表人身份证</w:t>
      </w:r>
    </w:p>
    <w:p>
      <w:pPr>
        <w:pStyle w:val="null3"/>
      </w:pPr>
      <w:r>
        <w:rPr>
          <w:rFonts w:ascii="仿宋_GB2312" w:hAnsi="仿宋_GB2312" w:cs="仿宋_GB2312" w:eastAsia="仿宋_GB2312"/>
        </w:rPr>
        <w:t>3、应具备健全的财务会计制度、履行合同所需的设备和专业技术能力、依法缴纳税收和社会保障资金，以及参加本项目采购活动前3年内经营活动无重大违法记录；投标人未被列入“信用中国”网站(https://www.creditchina.gov.cn)“失信被执行人”“重大税收违法案件当事人名单”中，也未列入“中国政府采购网”(https://www.ccgp.gov.cn)的“政府采购严重违法失信行为记录名单”：按照汉中市财政局《关于全面推行政府采购投标人基本资格条件承诺制的通知》(汉财办采管(2024)20号)文件要求，提供满足相应条件的资格承诺函</w:t>
      </w:r>
    </w:p>
    <w:p>
      <w:pPr>
        <w:pStyle w:val="null3"/>
      </w:pPr>
      <w:r>
        <w:rPr>
          <w:rFonts w:ascii="仿宋_GB2312" w:hAnsi="仿宋_GB2312" w:cs="仿宋_GB2312" w:eastAsia="仿宋_GB2312"/>
        </w:rPr>
        <w:t>4、企业及法定代表人其法定代表人/负责人，不得被列入失信被执行人。：提供企业及法定代表人/负责人，在中国执行信息公开网、中国裁判文书网的截图及承诺书（格式自拟）。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略阳县金家河镇人民政府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略阳县金家河镇金家河社区街上组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724311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略阳县金家河镇人民政府经办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15109163916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中创名建工程管理集团有限公司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陕西省汉中市汉台区北一环路友谊公司院内二楼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19992619393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开户名称：中创名建工程管理集团有限公司汉中汉台分公司</w:t>
            </w:r>
          </w:p>
          <w:p>
            <w:pPr>
              <w:pStyle w:val="null3"/>
            </w:pPr>
            <w:r>
              <w:rPr>
                <w:rFonts w:ascii="仿宋_GB2312" w:hAnsi="仿宋_GB2312" w:cs="仿宋_GB2312" w:eastAsia="仿宋_GB2312"/>
              </w:rPr>
              <w:t>开户银行：中国工商银行汉中广场支行</w:t>
            </w:r>
          </w:p>
          <w:p>
            <w:pPr>
              <w:pStyle w:val="null3"/>
            </w:pPr>
            <w:r>
              <w:rPr>
                <w:rFonts w:ascii="仿宋_GB2312" w:hAnsi="仿宋_GB2312" w:cs="仿宋_GB2312" w:eastAsia="仿宋_GB2312"/>
              </w:rPr>
              <w:t>银行账号：2606 0540 1920 0057 777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 号规定计取（不足3000元的，统一按3000元收取）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略阳县金家河镇人民政府</w:t>
      </w:r>
      <w:r>
        <w:rPr>
          <w:rFonts w:ascii="仿宋_GB2312" w:hAnsi="仿宋_GB2312" w:cs="仿宋_GB2312" w:eastAsia="仿宋_GB2312"/>
        </w:rPr>
        <w:t>和</w:t>
      </w:r>
      <w:r>
        <w:rPr>
          <w:rFonts w:ascii="仿宋_GB2312" w:hAnsi="仿宋_GB2312" w:cs="仿宋_GB2312" w:eastAsia="仿宋_GB2312"/>
        </w:rPr>
        <w:t>中创名建工程管理集团有限公司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略阳县金家河镇人民政府</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中创名建工程管理集团有限公司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略阳县金家河镇人民政府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中创名建工程管理集团有限公司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联系人：周女士</w:t>
      </w:r>
    </w:p>
    <w:p>
      <w:pPr>
        <w:pStyle w:val="null3"/>
      </w:pPr>
      <w:r>
        <w:rPr>
          <w:rFonts w:ascii="仿宋_GB2312" w:hAnsi="仿宋_GB2312" w:cs="仿宋_GB2312" w:eastAsia="仿宋_GB2312"/>
        </w:rPr>
        <w:t>联系电话：19992619393</w:t>
      </w:r>
    </w:p>
    <w:p>
      <w:pPr>
        <w:pStyle w:val="null3"/>
      </w:pPr>
      <w:r>
        <w:rPr>
          <w:rFonts w:ascii="仿宋_GB2312" w:hAnsi="仿宋_GB2312" w:cs="仿宋_GB2312" w:eastAsia="仿宋_GB2312"/>
        </w:rPr>
        <w:t>地址： 陕西省汉中市汉台区北一环路友谊公司院内二楼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全自动秸秆打包生产线及托盘1套、农作物秸秆铡草操丝机及青贮饲料粉碎覆膜机1套、农作物秸秆转运机械2台、秸秆粉碎还田机及配套动力1台、油菜脱粒机3台。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511,000.00</w:t>
      </w:r>
    </w:p>
    <w:p>
      <w:pPr>
        <w:pStyle w:val="null3"/>
      </w:pPr>
      <w:r>
        <w:rPr>
          <w:rFonts w:ascii="仿宋_GB2312" w:hAnsi="仿宋_GB2312" w:cs="仿宋_GB2312" w:eastAsia="仿宋_GB2312"/>
        </w:rPr>
        <w:t>采购包最高限价（元）: 511,000.00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2025年金家河镇天台村农作物秸秆综合利用机械设备采购项目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标的名称：2025年金家河镇天台村农作物秸秆综合利用机械设备采购项目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345"/>
              <w:tblBorders>
                <w:top w:val="none" w:color="000000" w:sz="4"/>
                <w:left w:val="none" w:color="000000" w:sz="4"/>
                <w:bottom w:val="none" w:color="000000" w:sz="4"/>
                <w:right w:val="none" w:color="000000" w:sz="4"/>
                <w:insideH w:val="none"/>
                <w:insideV w:val="none"/>
              </w:tblBorders>
            </w:tblPr>
            <w:tblGrid>
              <w:gridCol w:w="220"/>
              <w:gridCol w:w="656"/>
              <w:gridCol w:w="340"/>
              <w:gridCol w:w="349"/>
              <w:gridCol w:w="1609"/>
            </w:tblGrid>
            <w:tr>
              <w:tc>
                <w:tcPr>
                  <w:tcW w:type="dxa" w:w="2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after="105"/>
                    <w:jc w:val="center"/>
                  </w:pPr>
                  <w:r>
                    <w:rPr>
                      <w:rFonts w:ascii="仿宋_GB2312" w:hAnsi="仿宋_GB2312" w:cs="仿宋_GB2312" w:eastAsia="仿宋_GB2312"/>
                      <w:sz w:val="21"/>
                      <w:color w:val="000000"/>
                    </w:rPr>
                    <w:t>序号</w:t>
                  </w:r>
                </w:p>
              </w:tc>
              <w:tc>
                <w:tcPr>
                  <w:tcW w:type="dxa" w:w="65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after="105"/>
                    <w:jc w:val="center"/>
                  </w:pPr>
                  <w:r>
                    <w:rPr>
                      <w:rFonts w:ascii="仿宋_GB2312" w:hAnsi="仿宋_GB2312" w:cs="仿宋_GB2312" w:eastAsia="仿宋_GB2312"/>
                      <w:sz w:val="21"/>
                      <w:color w:val="000000"/>
                    </w:rPr>
                    <w:t>设备</w:t>
                  </w:r>
                  <w:r>
                    <w:rPr>
                      <w:rFonts w:ascii="仿宋_GB2312" w:hAnsi="仿宋_GB2312" w:cs="仿宋_GB2312" w:eastAsia="仿宋_GB2312"/>
                      <w:sz w:val="21"/>
                      <w:color w:val="000000"/>
                    </w:rPr>
                    <w:t>名称</w:t>
                  </w:r>
                </w:p>
              </w:tc>
              <w:tc>
                <w:tcPr>
                  <w:tcW w:type="dxa" w:w="34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75" w:after="105"/>
                    <w:ind w:right="165"/>
                    <w:jc w:val="center"/>
                  </w:pPr>
                  <w:r>
                    <w:rPr>
                      <w:rFonts w:ascii="仿宋_GB2312" w:hAnsi="仿宋_GB2312" w:cs="仿宋_GB2312" w:eastAsia="仿宋_GB2312"/>
                      <w:sz w:val="21"/>
                    </w:rPr>
                    <w:t>数量</w:t>
                  </w:r>
                </w:p>
              </w:tc>
              <w:tc>
                <w:tcPr>
                  <w:tcW w:type="dxa" w:w="34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after="105"/>
                    <w:jc w:val="center"/>
                  </w:pPr>
                  <w:r>
                    <w:rPr>
                      <w:rFonts w:ascii="仿宋_GB2312" w:hAnsi="仿宋_GB2312" w:cs="仿宋_GB2312" w:eastAsia="仿宋_GB2312"/>
                      <w:sz w:val="21"/>
                      <w:color w:val="000000"/>
                    </w:rPr>
                    <w:t>计量</w:t>
                  </w:r>
                </w:p>
                <w:p>
                  <w:pPr>
                    <w:pStyle w:val="null3"/>
                    <w:spacing w:before="135" w:after="105"/>
                    <w:jc w:val="center"/>
                  </w:pPr>
                  <w:r>
                    <w:rPr>
                      <w:rFonts w:ascii="仿宋_GB2312" w:hAnsi="仿宋_GB2312" w:cs="仿宋_GB2312" w:eastAsia="仿宋_GB2312"/>
                      <w:sz w:val="21"/>
                      <w:color w:val="000000"/>
                    </w:rPr>
                    <w:t>单位</w:t>
                  </w:r>
                </w:p>
              </w:tc>
              <w:tc>
                <w:tcPr>
                  <w:tcW w:type="dxa" w:w="160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after="105"/>
                    <w:jc w:val="center"/>
                  </w:pPr>
                  <w:r>
                    <w:rPr>
                      <w:rFonts w:ascii="仿宋_GB2312" w:hAnsi="仿宋_GB2312" w:cs="仿宋_GB2312" w:eastAsia="仿宋_GB2312"/>
                      <w:sz w:val="21"/>
                      <w:color w:val="000000"/>
                    </w:rPr>
                    <w:t>规格型号及相关参数</w:t>
                  </w:r>
                </w:p>
              </w:tc>
            </w:tr>
            <w:tr>
              <w:tc>
                <w:tcPr>
                  <w:tcW w:type="dxa" w:w="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after="105"/>
                    <w:jc w:val="center"/>
                  </w:pPr>
                  <w:r>
                    <w:rPr>
                      <w:rFonts w:ascii="仿宋_GB2312" w:hAnsi="仿宋_GB2312" w:cs="仿宋_GB2312" w:eastAsia="仿宋_GB2312"/>
                      <w:sz w:val="21"/>
                      <w:color w:val="000000"/>
                    </w:rPr>
                    <w:t>1</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after="105"/>
                    <w:jc w:val="both"/>
                  </w:pPr>
                  <w:r>
                    <w:rPr>
                      <w:rFonts w:ascii="仿宋_GB2312" w:hAnsi="仿宋_GB2312" w:cs="仿宋_GB2312" w:eastAsia="仿宋_GB2312"/>
                      <w:sz w:val="21"/>
                      <w:color w:val="000000"/>
                    </w:rPr>
                    <w:t>全自动秸秆打包生产线及托盘</w:t>
                  </w:r>
                </w:p>
              </w:tc>
              <w:tc>
                <w:tcPr>
                  <w:tcW w:type="dxa" w:w="3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after="105"/>
                    <w:jc w:val="center"/>
                  </w:pPr>
                  <w:r>
                    <w:rPr>
                      <w:rFonts w:ascii="仿宋_GB2312" w:hAnsi="仿宋_GB2312" w:cs="仿宋_GB2312" w:eastAsia="仿宋_GB2312"/>
                      <w:sz w:val="21"/>
                      <w:color w:val="000000"/>
                    </w:rPr>
                    <w:t>1</w:t>
                  </w:r>
                </w:p>
              </w:tc>
              <w:tc>
                <w:tcPr>
                  <w:tcW w:type="dxa" w:w="3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after="105"/>
                    <w:jc w:val="center"/>
                  </w:pPr>
                  <w:r>
                    <w:rPr>
                      <w:rFonts w:ascii="仿宋_GB2312" w:hAnsi="仿宋_GB2312" w:cs="仿宋_GB2312" w:eastAsia="仿宋_GB2312"/>
                      <w:sz w:val="21"/>
                      <w:color w:val="000000"/>
                    </w:rPr>
                    <w:t>套</w:t>
                  </w:r>
                </w:p>
              </w:tc>
              <w:tc>
                <w:tcPr>
                  <w:tcW w:type="dxa" w:w="16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after="105"/>
                    <w:jc w:val="both"/>
                  </w:pPr>
                  <w:r>
                    <w:rPr>
                      <w:rFonts w:ascii="仿宋_GB2312" w:hAnsi="仿宋_GB2312" w:cs="仿宋_GB2312" w:eastAsia="仿宋_GB2312"/>
                      <w:sz w:val="21"/>
                    </w:rPr>
                    <w:t>三缸秸秆压捆机配套动力：</w:t>
                  </w:r>
                  <w:r>
                    <w:rPr>
                      <w:rFonts w:ascii="仿宋_GB2312" w:hAnsi="仿宋_GB2312" w:cs="仿宋_GB2312" w:eastAsia="仿宋_GB2312"/>
                      <w:sz w:val="21"/>
                    </w:rPr>
                    <w:t>≥ 22千瓦；★</w:t>
                  </w:r>
                </w:p>
                <w:p>
                  <w:pPr>
                    <w:pStyle w:val="null3"/>
                    <w:spacing w:before="135" w:after="105"/>
                    <w:jc w:val="both"/>
                  </w:pPr>
                  <w:r>
                    <w:rPr>
                      <w:rFonts w:ascii="仿宋_GB2312" w:hAnsi="仿宋_GB2312" w:cs="仿宋_GB2312" w:eastAsia="仿宋_GB2312"/>
                      <w:sz w:val="21"/>
                    </w:rPr>
                    <w:t>生产率：</w:t>
                  </w:r>
                  <w:r>
                    <w:rPr>
                      <w:rFonts w:ascii="仿宋_GB2312" w:hAnsi="仿宋_GB2312" w:cs="仿宋_GB2312" w:eastAsia="仿宋_GB2312"/>
                      <w:sz w:val="21"/>
                    </w:rPr>
                    <w:t>≥60捆/h；</w:t>
                  </w:r>
                </w:p>
                <w:p>
                  <w:pPr>
                    <w:pStyle w:val="null3"/>
                    <w:spacing w:before="135" w:after="105"/>
                    <w:jc w:val="both"/>
                  </w:pPr>
                  <w:r>
                    <w:rPr>
                      <w:rFonts w:ascii="仿宋_GB2312" w:hAnsi="仿宋_GB2312" w:cs="仿宋_GB2312" w:eastAsia="仿宋_GB2312"/>
                      <w:sz w:val="21"/>
                    </w:rPr>
                    <w:t>草捆重量：</w:t>
                  </w:r>
                  <w:r>
                    <w:rPr>
                      <w:rFonts w:ascii="仿宋_GB2312" w:hAnsi="仿宋_GB2312" w:cs="仿宋_GB2312" w:eastAsia="仿宋_GB2312"/>
                      <w:sz w:val="21"/>
                    </w:rPr>
                    <w:t>≤60kg；</w:t>
                  </w:r>
                </w:p>
                <w:p>
                  <w:pPr>
                    <w:pStyle w:val="null3"/>
                    <w:spacing w:before="135" w:after="105"/>
                    <w:jc w:val="both"/>
                  </w:pPr>
                  <w:r>
                    <w:rPr>
                      <w:rFonts w:ascii="仿宋_GB2312" w:hAnsi="仿宋_GB2312" w:cs="仿宋_GB2312" w:eastAsia="仿宋_GB2312"/>
                      <w:sz w:val="21"/>
                    </w:rPr>
                    <w:t>草捆密度</w:t>
                  </w:r>
                  <w:r>
                    <w:rPr>
                      <w:rFonts w:ascii="仿宋_GB2312" w:hAnsi="仿宋_GB2312" w:cs="仿宋_GB2312" w:eastAsia="仿宋_GB2312"/>
                      <w:sz w:val="21"/>
                    </w:rPr>
                    <w:t>≥100kg/m³；★</w:t>
                  </w:r>
                </w:p>
                <w:p>
                  <w:pPr>
                    <w:pStyle w:val="null3"/>
                    <w:spacing w:before="135" w:after="105"/>
                    <w:jc w:val="both"/>
                  </w:pPr>
                  <w:r>
                    <w:rPr>
                      <w:rFonts w:ascii="仿宋_GB2312" w:hAnsi="仿宋_GB2312" w:cs="仿宋_GB2312" w:eastAsia="仿宋_GB2312"/>
                      <w:sz w:val="21"/>
                    </w:rPr>
                    <w:t>输送带长度：</w:t>
                  </w:r>
                  <w:r>
                    <w:rPr>
                      <w:rFonts w:ascii="仿宋_GB2312" w:hAnsi="仿宋_GB2312" w:cs="仿宋_GB2312" w:eastAsia="仿宋_GB2312"/>
                      <w:sz w:val="21"/>
                    </w:rPr>
                    <w:t>≥9米，宽度≥0.8米；</w:t>
                  </w:r>
                </w:p>
                <w:p>
                  <w:pPr>
                    <w:pStyle w:val="null3"/>
                    <w:spacing w:before="135" w:after="105"/>
                    <w:jc w:val="both"/>
                  </w:pPr>
                  <w:r>
                    <w:rPr>
                      <w:rFonts w:ascii="仿宋_GB2312" w:hAnsi="仿宋_GB2312" w:cs="仿宋_GB2312" w:eastAsia="仿宋_GB2312"/>
                      <w:sz w:val="21"/>
                    </w:rPr>
                    <w:t>输送带动力</w:t>
                  </w:r>
                  <w:r>
                    <w:rPr>
                      <w:rFonts w:ascii="仿宋_GB2312" w:hAnsi="仿宋_GB2312" w:cs="仿宋_GB2312" w:eastAsia="仿宋_GB2312"/>
                      <w:sz w:val="21"/>
                    </w:rPr>
                    <w:t>≥3千瓦；</w:t>
                  </w:r>
                </w:p>
                <w:p>
                  <w:pPr>
                    <w:pStyle w:val="null3"/>
                    <w:spacing w:before="135" w:after="105"/>
                    <w:jc w:val="both"/>
                  </w:pPr>
                  <w:r>
                    <w:rPr>
                      <w:rFonts w:ascii="仿宋_GB2312" w:hAnsi="仿宋_GB2312" w:cs="仿宋_GB2312" w:eastAsia="仿宋_GB2312"/>
                      <w:sz w:val="21"/>
                    </w:rPr>
                    <w:t>分料箱：</w:t>
                  </w:r>
                  <w:r>
                    <w:rPr>
                      <w:rFonts w:ascii="仿宋_GB2312" w:hAnsi="仿宋_GB2312" w:cs="仿宋_GB2312" w:eastAsia="仿宋_GB2312"/>
                      <w:sz w:val="21"/>
                    </w:rPr>
                    <w:t>≥</w:t>
                  </w:r>
                  <w:r>
                    <w:rPr>
                      <w:rFonts w:ascii="仿宋_GB2312" w:hAnsi="仿宋_GB2312" w:cs="仿宋_GB2312" w:eastAsia="仿宋_GB2312"/>
                      <w:sz w:val="21"/>
                    </w:rPr>
                    <w:t>5m³，电机：≥2.2kw</w:t>
                  </w:r>
                </w:p>
                <w:p>
                  <w:pPr>
                    <w:pStyle w:val="null3"/>
                    <w:spacing w:before="135" w:after="105"/>
                    <w:jc w:val="both"/>
                  </w:pPr>
                  <w:r>
                    <w:rPr>
                      <w:rFonts w:ascii="仿宋_GB2312" w:hAnsi="仿宋_GB2312" w:cs="仿宋_GB2312" w:eastAsia="仿宋_GB2312"/>
                      <w:sz w:val="21"/>
                    </w:rPr>
                    <w:t>粉碎设备配套动力</w:t>
                  </w:r>
                  <w:r>
                    <w:rPr>
                      <w:rFonts w:ascii="仿宋_GB2312" w:hAnsi="仿宋_GB2312" w:cs="仿宋_GB2312" w:eastAsia="仿宋_GB2312"/>
                      <w:sz w:val="21"/>
                    </w:rPr>
                    <w:t>≥18.5kw</w:t>
                  </w:r>
                </w:p>
                <w:p>
                  <w:pPr>
                    <w:pStyle w:val="null3"/>
                    <w:spacing w:before="135" w:after="105"/>
                    <w:jc w:val="both"/>
                  </w:pPr>
                  <w:r>
                    <w:rPr>
                      <w:rFonts w:ascii="仿宋_GB2312" w:hAnsi="仿宋_GB2312" w:cs="仿宋_GB2312" w:eastAsia="仿宋_GB2312"/>
                      <w:sz w:val="21"/>
                    </w:rPr>
                    <w:t>生产效率</w:t>
                  </w:r>
                  <w:r>
                    <w:rPr>
                      <w:rFonts w:ascii="仿宋_GB2312" w:hAnsi="仿宋_GB2312" w:cs="仿宋_GB2312" w:eastAsia="仿宋_GB2312"/>
                      <w:sz w:val="21"/>
                    </w:rPr>
                    <w:t>≥7000kg/h</w:t>
                  </w:r>
                </w:p>
                <w:p>
                  <w:pPr>
                    <w:pStyle w:val="null3"/>
                    <w:spacing w:before="135" w:after="105"/>
                    <w:jc w:val="both"/>
                  </w:pPr>
                  <w:r>
                    <w:rPr>
                      <w:rFonts w:ascii="仿宋_GB2312" w:hAnsi="仿宋_GB2312" w:cs="仿宋_GB2312" w:eastAsia="仿宋_GB2312"/>
                      <w:sz w:val="21"/>
                    </w:rPr>
                    <w:t>存储托盘（</w:t>
                  </w:r>
                  <w:r>
                    <w:rPr>
                      <w:rFonts w:ascii="仿宋_GB2312" w:hAnsi="仿宋_GB2312" w:cs="仿宋_GB2312" w:eastAsia="仿宋_GB2312"/>
                      <w:sz w:val="21"/>
                    </w:rPr>
                    <w:t>50个）规格尺寸：≥1.2m*1m；托盘材质：金属材质。</w:t>
                  </w:r>
                </w:p>
              </w:tc>
            </w:tr>
            <w:tr>
              <w:tc>
                <w:tcPr>
                  <w:tcW w:type="dxa" w:w="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after="105"/>
                    <w:jc w:val="center"/>
                  </w:pPr>
                  <w:r>
                    <w:rPr>
                      <w:rFonts w:ascii="仿宋_GB2312" w:hAnsi="仿宋_GB2312" w:cs="仿宋_GB2312" w:eastAsia="仿宋_GB2312"/>
                      <w:sz w:val="21"/>
                      <w:color w:val="000000"/>
                    </w:rPr>
                    <w:t>2</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jc w:val="both"/>
                  </w:pPr>
                  <w:r>
                    <w:rPr>
                      <w:rFonts w:ascii="仿宋_GB2312" w:hAnsi="仿宋_GB2312" w:cs="仿宋_GB2312" w:eastAsia="仿宋_GB2312"/>
                      <w:sz w:val="21"/>
                      <w:color w:val="000000"/>
                    </w:rPr>
                    <w:t>农作物秸秆铡草揉丝机及青贮饲料粉碎覆膜机</w:t>
                  </w:r>
                </w:p>
              </w:tc>
              <w:tc>
                <w:tcPr>
                  <w:tcW w:type="dxa" w:w="3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after="105"/>
                    <w:jc w:val="center"/>
                  </w:pPr>
                  <w:r>
                    <w:rPr>
                      <w:rFonts w:ascii="仿宋_GB2312" w:hAnsi="仿宋_GB2312" w:cs="仿宋_GB2312" w:eastAsia="仿宋_GB2312"/>
                      <w:sz w:val="21"/>
                      <w:color w:val="000000"/>
                    </w:rPr>
                    <w:t>1</w:t>
                  </w:r>
                </w:p>
              </w:tc>
              <w:tc>
                <w:tcPr>
                  <w:tcW w:type="dxa" w:w="3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after="105"/>
                    <w:jc w:val="center"/>
                  </w:pPr>
                  <w:r>
                    <w:rPr>
                      <w:rFonts w:ascii="仿宋_GB2312" w:hAnsi="仿宋_GB2312" w:cs="仿宋_GB2312" w:eastAsia="仿宋_GB2312"/>
                      <w:sz w:val="21"/>
                      <w:color w:val="000000"/>
                    </w:rPr>
                    <w:t>套</w:t>
                  </w:r>
                </w:p>
              </w:tc>
              <w:tc>
                <w:tcPr>
                  <w:tcW w:type="dxa" w:w="16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after="105"/>
                    <w:ind w:right="180"/>
                    <w:jc w:val="both"/>
                  </w:pPr>
                  <w:r>
                    <w:rPr>
                      <w:rFonts w:ascii="仿宋_GB2312" w:hAnsi="仿宋_GB2312" w:cs="仿宋_GB2312" w:eastAsia="仿宋_GB2312"/>
                      <w:sz w:val="21"/>
                    </w:rPr>
                    <w:t>覆膜机电机功率</w:t>
                  </w:r>
                  <w:r>
                    <w:rPr>
                      <w:rFonts w:ascii="仿宋_GB2312" w:hAnsi="仿宋_GB2312" w:cs="仿宋_GB2312" w:eastAsia="仿宋_GB2312"/>
                      <w:sz w:val="21"/>
                    </w:rPr>
                    <w:t>: ≥5.5KW；★</w:t>
                  </w:r>
                </w:p>
                <w:p>
                  <w:pPr>
                    <w:pStyle w:val="null3"/>
                    <w:spacing w:before="135" w:after="105"/>
                    <w:ind w:right="180"/>
                    <w:jc w:val="both"/>
                  </w:pPr>
                  <w:r>
                    <w:rPr>
                      <w:rFonts w:ascii="仿宋_GB2312" w:hAnsi="仿宋_GB2312" w:cs="仿宋_GB2312" w:eastAsia="仿宋_GB2312"/>
                      <w:sz w:val="21"/>
                    </w:rPr>
                    <w:t>工作效率</w:t>
                  </w:r>
                  <w:r>
                    <w:rPr>
                      <w:rFonts w:ascii="仿宋_GB2312" w:hAnsi="仿宋_GB2312" w:cs="仿宋_GB2312" w:eastAsia="仿宋_GB2312"/>
                      <w:sz w:val="21"/>
                    </w:rPr>
                    <w:t>:≥50捆/h；</w:t>
                  </w:r>
                </w:p>
                <w:p>
                  <w:pPr>
                    <w:pStyle w:val="null3"/>
                    <w:spacing w:before="135" w:after="105"/>
                    <w:ind w:right="180"/>
                    <w:jc w:val="both"/>
                  </w:pPr>
                  <w:r>
                    <w:rPr>
                      <w:rFonts w:ascii="仿宋_GB2312" w:hAnsi="仿宋_GB2312" w:cs="仿宋_GB2312" w:eastAsia="仿宋_GB2312"/>
                      <w:sz w:val="21"/>
                    </w:rPr>
                    <w:t>包膜层：</w:t>
                  </w:r>
                  <w:r>
                    <w:rPr>
                      <w:rFonts w:ascii="仿宋_GB2312" w:hAnsi="仿宋_GB2312" w:cs="仿宋_GB2312" w:eastAsia="仿宋_GB2312"/>
                      <w:sz w:val="21"/>
                    </w:rPr>
                    <w:t>≥2层；</w:t>
                  </w:r>
                </w:p>
                <w:p>
                  <w:pPr>
                    <w:pStyle w:val="null3"/>
                    <w:spacing w:before="135" w:after="105"/>
                    <w:ind w:right="180"/>
                    <w:jc w:val="both"/>
                  </w:pPr>
                  <w:r>
                    <w:rPr>
                      <w:rFonts w:ascii="仿宋_GB2312" w:hAnsi="仿宋_GB2312" w:cs="仿宋_GB2312" w:eastAsia="仿宋_GB2312"/>
                      <w:sz w:val="21"/>
                    </w:rPr>
                    <w:t>配套揉丝机动力</w:t>
                  </w:r>
                  <w:r>
                    <w:rPr>
                      <w:rFonts w:ascii="仿宋_GB2312" w:hAnsi="仿宋_GB2312" w:cs="仿宋_GB2312" w:eastAsia="仿宋_GB2312"/>
                      <w:sz w:val="21"/>
                    </w:rPr>
                    <w:t>:≥15KW;★</w:t>
                  </w:r>
                </w:p>
                <w:p>
                  <w:pPr>
                    <w:pStyle w:val="null3"/>
                    <w:spacing w:before="135" w:after="105"/>
                    <w:ind w:right="180"/>
                    <w:jc w:val="both"/>
                  </w:pPr>
                  <w:r>
                    <w:rPr>
                      <w:rFonts w:ascii="仿宋_GB2312" w:hAnsi="仿宋_GB2312" w:cs="仿宋_GB2312" w:eastAsia="仿宋_GB2312"/>
                      <w:sz w:val="21"/>
                    </w:rPr>
                    <w:t>输送动力</w:t>
                  </w:r>
                  <w:r>
                    <w:rPr>
                      <w:rFonts w:ascii="仿宋_GB2312" w:hAnsi="仿宋_GB2312" w:cs="仿宋_GB2312" w:eastAsia="仿宋_GB2312"/>
                      <w:sz w:val="21"/>
                    </w:rPr>
                    <w:t>≥ 1.5KW;★</w:t>
                  </w:r>
                </w:p>
                <w:p>
                  <w:pPr>
                    <w:pStyle w:val="null3"/>
                    <w:spacing w:before="135" w:after="105"/>
                    <w:ind w:right="180"/>
                    <w:jc w:val="both"/>
                  </w:pPr>
                </w:p>
              </w:tc>
            </w:tr>
            <w:tr>
              <w:tc>
                <w:tcPr>
                  <w:tcW w:type="dxa" w:w="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after="105"/>
                    <w:ind w:right="180"/>
                    <w:jc w:val="both"/>
                  </w:pPr>
                  <w:r>
                    <w:rPr>
                      <w:rFonts w:ascii="仿宋_GB2312" w:hAnsi="仿宋_GB2312" w:cs="仿宋_GB2312" w:eastAsia="仿宋_GB2312"/>
                      <w:sz w:val="21"/>
                      <w:color w:val="000000"/>
                    </w:rPr>
                    <w:t>农作物秸秆转运机械</w:t>
                  </w:r>
                </w:p>
              </w:tc>
              <w:tc>
                <w:tcPr>
                  <w:tcW w:type="dxa" w:w="3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after="105"/>
                    <w:jc w:val="center"/>
                  </w:pPr>
                  <w:r>
                    <w:rPr>
                      <w:rFonts w:ascii="仿宋_GB2312" w:hAnsi="仿宋_GB2312" w:cs="仿宋_GB2312" w:eastAsia="仿宋_GB2312"/>
                      <w:sz w:val="21"/>
                      <w:color w:val="000000"/>
                    </w:rPr>
                    <w:t>2</w:t>
                  </w:r>
                </w:p>
              </w:tc>
              <w:tc>
                <w:tcPr>
                  <w:tcW w:type="dxa" w:w="3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rPr>
                    <w:t>套</w:t>
                  </w:r>
                </w:p>
              </w:tc>
              <w:tc>
                <w:tcPr>
                  <w:tcW w:type="dxa" w:w="16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after="105"/>
                    <w:ind w:right="180"/>
                    <w:jc w:val="both"/>
                  </w:pPr>
                  <w:r>
                    <w:rPr>
                      <w:rFonts w:ascii="仿宋_GB2312" w:hAnsi="仿宋_GB2312" w:cs="仿宋_GB2312" w:eastAsia="仿宋_GB2312"/>
                      <w:sz w:val="19"/>
                    </w:rPr>
                    <w:t>四轮拖拉机；</w:t>
                  </w:r>
                  <w:r>
                    <w:rPr>
                      <w:rFonts w:ascii="仿宋_GB2312" w:hAnsi="仿宋_GB2312" w:cs="仿宋_GB2312" w:eastAsia="仿宋_GB2312"/>
                      <w:sz w:val="21"/>
                    </w:rPr>
                    <w:t>★</w:t>
                  </w:r>
                </w:p>
                <w:p>
                  <w:pPr>
                    <w:pStyle w:val="null3"/>
                    <w:spacing w:before="135" w:after="105"/>
                    <w:ind w:right="180"/>
                    <w:jc w:val="both"/>
                  </w:pPr>
                  <w:r>
                    <w:rPr>
                      <w:rFonts w:ascii="仿宋_GB2312" w:hAnsi="仿宋_GB2312" w:cs="仿宋_GB2312" w:eastAsia="仿宋_GB2312"/>
                      <w:sz w:val="21"/>
                    </w:rPr>
                    <w:t>功率：</w:t>
                  </w:r>
                  <w:r>
                    <w:rPr>
                      <w:rFonts w:ascii="仿宋_GB2312" w:hAnsi="仿宋_GB2312" w:cs="仿宋_GB2312" w:eastAsia="仿宋_GB2312"/>
                      <w:sz w:val="21"/>
                    </w:rPr>
                    <w:t>≥ 18KW；</w:t>
                  </w:r>
                  <w:r>
                    <w:rPr>
                      <w:rFonts w:ascii="仿宋_GB2312" w:hAnsi="仿宋_GB2312" w:cs="仿宋_GB2312" w:eastAsia="仿宋_GB2312"/>
                      <w:sz w:val="21"/>
                    </w:rPr>
                    <w:t>★</w:t>
                  </w:r>
                </w:p>
                <w:p>
                  <w:pPr>
                    <w:pStyle w:val="null3"/>
                    <w:spacing w:before="135" w:after="105"/>
                    <w:ind w:right="180"/>
                    <w:jc w:val="both"/>
                  </w:pPr>
                  <w:r>
                    <w:rPr>
                      <w:rFonts w:ascii="仿宋_GB2312" w:hAnsi="仿宋_GB2312" w:cs="仿宋_GB2312" w:eastAsia="仿宋_GB2312"/>
                      <w:sz w:val="21"/>
                    </w:rPr>
                    <w:t>排放标准：</w:t>
                  </w:r>
                  <w:r>
                    <w:rPr>
                      <w:rFonts w:ascii="仿宋_GB2312" w:hAnsi="仿宋_GB2312" w:cs="仿宋_GB2312" w:eastAsia="仿宋_GB2312"/>
                      <w:sz w:val="21"/>
                    </w:rPr>
                    <w:t>≥</w:t>
                  </w:r>
                  <w:r>
                    <w:rPr>
                      <w:rFonts w:ascii="仿宋_GB2312" w:hAnsi="仿宋_GB2312" w:cs="仿宋_GB2312" w:eastAsia="仿宋_GB2312"/>
                      <w:sz w:val="21"/>
                    </w:rPr>
                    <w:t>国四标准；</w:t>
                  </w:r>
                </w:p>
                <w:p>
                  <w:pPr>
                    <w:pStyle w:val="null3"/>
                    <w:spacing w:before="135" w:after="105"/>
                    <w:ind w:right="180"/>
                    <w:jc w:val="both"/>
                  </w:pPr>
                  <w:r>
                    <w:rPr>
                      <w:rFonts w:ascii="仿宋_GB2312" w:hAnsi="仿宋_GB2312" w:cs="仿宋_GB2312" w:eastAsia="仿宋_GB2312"/>
                      <w:sz w:val="21"/>
                    </w:rPr>
                    <w:t>内燃机种类：柴油；</w:t>
                  </w:r>
                </w:p>
                <w:p>
                  <w:pPr>
                    <w:pStyle w:val="null3"/>
                    <w:spacing w:before="135" w:after="105"/>
                    <w:ind w:right="180"/>
                    <w:jc w:val="both"/>
                  </w:pPr>
                  <w:r>
                    <w:rPr>
                      <w:rFonts w:ascii="仿宋_GB2312" w:hAnsi="仿宋_GB2312" w:cs="仿宋_GB2312" w:eastAsia="仿宋_GB2312"/>
                      <w:sz w:val="21"/>
                    </w:rPr>
                    <w:t>前进档位数：</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135" w:after="105"/>
                    <w:ind w:right="180"/>
                    <w:jc w:val="both"/>
                  </w:pPr>
                  <w:r>
                    <w:rPr>
                      <w:rFonts w:ascii="仿宋_GB2312" w:hAnsi="仿宋_GB2312" w:cs="仿宋_GB2312" w:eastAsia="仿宋_GB2312"/>
                      <w:sz w:val="21"/>
                    </w:rPr>
                    <w:t>倒退档位数：</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135" w:after="105"/>
                    <w:ind w:right="180"/>
                    <w:jc w:val="both"/>
                  </w:pPr>
                  <w:r>
                    <w:rPr>
                      <w:rFonts w:ascii="仿宋_GB2312" w:hAnsi="仿宋_GB2312" w:cs="仿宋_GB2312" w:eastAsia="仿宋_GB2312"/>
                      <w:sz w:val="21"/>
                    </w:rPr>
                    <w:t>后车厢尺寸：</w:t>
                  </w:r>
                  <w:r>
                    <w:rPr>
                      <w:rFonts w:ascii="仿宋_GB2312" w:hAnsi="仿宋_GB2312" w:cs="仿宋_GB2312" w:eastAsia="仿宋_GB2312"/>
                      <w:sz w:val="21"/>
                    </w:rPr>
                    <w:t>≥2500*1200*1000mm</w:t>
                  </w:r>
                  <w:r>
                    <w:rPr>
                      <w:rFonts w:ascii="仿宋_GB2312" w:hAnsi="仿宋_GB2312" w:cs="仿宋_GB2312" w:eastAsia="仿宋_GB2312"/>
                      <w:sz w:val="21"/>
                    </w:rPr>
                    <w:t>，带驱动；</w:t>
                  </w:r>
                </w:p>
                <w:p>
                  <w:pPr>
                    <w:pStyle w:val="null3"/>
                    <w:spacing w:before="135" w:after="105"/>
                    <w:ind w:right="180"/>
                    <w:jc w:val="both"/>
                  </w:pPr>
                  <w:r>
                    <w:rPr>
                      <w:rFonts w:ascii="仿宋_GB2312" w:hAnsi="仿宋_GB2312" w:cs="仿宋_GB2312" w:eastAsia="仿宋_GB2312"/>
                      <w:sz w:val="21"/>
                    </w:rPr>
                    <w:t>挂车载质量</w:t>
                  </w:r>
                  <w:r>
                    <w:rPr>
                      <w:rFonts w:ascii="仿宋_GB2312" w:hAnsi="仿宋_GB2312" w:cs="仿宋_GB2312" w:eastAsia="仿宋_GB2312"/>
                      <w:sz w:val="21"/>
                    </w:rPr>
                    <w:t>≥2000KG</w:t>
                  </w:r>
                  <w:r>
                    <w:rPr>
                      <w:rFonts w:ascii="仿宋_GB2312" w:hAnsi="仿宋_GB2312" w:cs="仿宋_GB2312" w:eastAsia="仿宋_GB2312"/>
                      <w:sz w:val="21"/>
                    </w:rPr>
                    <w:t>；</w:t>
                  </w:r>
                </w:p>
                <w:p>
                  <w:pPr>
                    <w:pStyle w:val="null3"/>
                    <w:spacing w:before="135" w:after="105"/>
                    <w:ind w:right="180"/>
                    <w:jc w:val="both"/>
                  </w:pPr>
                  <w:r>
                    <w:rPr>
                      <w:rFonts w:ascii="仿宋_GB2312" w:hAnsi="仿宋_GB2312" w:cs="仿宋_GB2312" w:eastAsia="仿宋_GB2312"/>
                      <w:sz w:val="21"/>
                    </w:rPr>
                    <w:t>装卸方式：自卸。</w:t>
                  </w:r>
                </w:p>
              </w:tc>
            </w:tr>
            <w:tr>
              <w:tc>
                <w:tcPr>
                  <w:tcW w:type="dxa" w:w="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after="105"/>
                    <w:jc w:val="center"/>
                  </w:pPr>
                  <w:r>
                    <w:rPr>
                      <w:rFonts w:ascii="仿宋_GB2312" w:hAnsi="仿宋_GB2312" w:cs="仿宋_GB2312" w:eastAsia="仿宋_GB2312"/>
                      <w:sz w:val="21"/>
                      <w:color w:val="000000"/>
                    </w:rPr>
                    <w:t>4</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after="105"/>
                    <w:jc w:val="both"/>
                  </w:pPr>
                  <w:r>
                    <w:rPr>
                      <w:rFonts w:ascii="仿宋_GB2312" w:hAnsi="仿宋_GB2312" w:cs="仿宋_GB2312" w:eastAsia="仿宋_GB2312"/>
                      <w:sz w:val="21"/>
                      <w:color w:val="000000"/>
                    </w:rPr>
                    <w:t>秸秆粉碎还田机及配套动力</w:t>
                  </w:r>
                </w:p>
              </w:tc>
              <w:tc>
                <w:tcPr>
                  <w:tcW w:type="dxa" w:w="3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after="105"/>
                    <w:jc w:val="center"/>
                  </w:pPr>
                  <w:r>
                    <w:rPr>
                      <w:rFonts w:ascii="仿宋_GB2312" w:hAnsi="仿宋_GB2312" w:cs="仿宋_GB2312" w:eastAsia="仿宋_GB2312"/>
                      <w:sz w:val="21"/>
                      <w:color w:val="000000"/>
                    </w:rPr>
                    <w:t>1</w:t>
                  </w:r>
                </w:p>
              </w:tc>
              <w:tc>
                <w:tcPr>
                  <w:tcW w:type="dxa" w:w="3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after="105"/>
                    <w:jc w:val="center"/>
                  </w:pPr>
                  <w:r>
                    <w:rPr>
                      <w:rFonts w:ascii="仿宋_GB2312" w:hAnsi="仿宋_GB2312" w:cs="仿宋_GB2312" w:eastAsia="仿宋_GB2312"/>
                      <w:sz w:val="21"/>
                      <w:color w:val="000000"/>
                    </w:rPr>
                    <w:t>台</w:t>
                  </w:r>
                </w:p>
              </w:tc>
              <w:tc>
                <w:tcPr>
                  <w:tcW w:type="dxa" w:w="16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after="105"/>
                    <w:jc w:val="both"/>
                  </w:pPr>
                  <w:r>
                    <w:rPr>
                      <w:rFonts w:ascii="仿宋_GB2312" w:hAnsi="仿宋_GB2312" w:cs="仿宋_GB2312" w:eastAsia="仿宋_GB2312"/>
                      <w:sz w:val="21"/>
                    </w:rPr>
                    <w:t>秸秆粉碎还田机动力：</w:t>
                  </w:r>
                  <w:r>
                    <w:rPr>
                      <w:rFonts w:ascii="仿宋_GB2312" w:hAnsi="仿宋_GB2312" w:cs="仿宋_GB2312" w:eastAsia="仿宋_GB2312"/>
                      <w:sz w:val="21"/>
                    </w:rPr>
                    <w:t>≥ 51.5kw；★</w:t>
                  </w:r>
                </w:p>
                <w:p>
                  <w:pPr>
                    <w:pStyle w:val="null3"/>
                    <w:spacing w:before="90" w:after="105"/>
                    <w:jc w:val="both"/>
                  </w:pPr>
                  <w:r>
                    <w:rPr>
                      <w:rFonts w:ascii="仿宋_GB2312" w:hAnsi="仿宋_GB2312" w:cs="仿宋_GB2312" w:eastAsia="仿宋_GB2312"/>
                      <w:sz w:val="21"/>
                    </w:rPr>
                    <w:t>驱动方式：四驱；</w:t>
                  </w:r>
                  <w:r>
                    <w:rPr>
                      <w:rFonts w:ascii="仿宋_GB2312" w:hAnsi="仿宋_GB2312" w:cs="仿宋_GB2312" w:eastAsia="仿宋_GB2312"/>
                      <w:sz w:val="21"/>
                    </w:rPr>
                    <w:t>★</w:t>
                  </w:r>
                </w:p>
                <w:p>
                  <w:pPr>
                    <w:pStyle w:val="null3"/>
                    <w:spacing w:before="90" w:after="105"/>
                    <w:jc w:val="both"/>
                  </w:pPr>
                  <w:r>
                    <w:rPr>
                      <w:rFonts w:ascii="仿宋_GB2312" w:hAnsi="仿宋_GB2312" w:cs="仿宋_GB2312" w:eastAsia="仿宋_GB2312"/>
                      <w:sz w:val="21"/>
                    </w:rPr>
                    <w:t>排放标准：</w:t>
                  </w:r>
                  <w:r>
                    <w:rPr>
                      <w:rFonts w:ascii="仿宋_GB2312" w:hAnsi="仿宋_GB2312" w:cs="仿宋_GB2312" w:eastAsia="仿宋_GB2312"/>
                      <w:sz w:val="21"/>
                    </w:rPr>
                    <w:t>≥国四标准；</w:t>
                  </w:r>
                </w:p>
                <w:p>
                  <w:pPr>
                    <w:pStyle w:val="null3"/>
                    <w:spacing w:before="90" w:after="105"/>
                    <w:jc w:val="both"/>
                  </w:pPr>
                  <w:r>
                    <w:rPr>
                      <w:rFonts w:ascii="仿宋_GB2312" w:hAnsi="仿宋_GB2312" w:cs="仿宋_GB2312" w:eastAsia="仿宋_GB2312"/>
                      <w:sz w:val="21"/>
                    </w:rPr>
                    <w:t>液压输出：</w:t>
                  </w:r>
                  <w:r>
                    <w:rPr>
                      <w:rFonts w:ascii="仿宋_GB2312" w:hAnsi="仿宋_GB2312" w:cs="仿宋_GB2312" w:eastAsia="仿宋_GB2312"/>
                      <w:sz w:val="21"/>
                    </w:rPr>
                    <w:t>≥两组；</w:t>
                  </w:r>
                </w:p>
                <w:p>
                  <w:pPr>
                    <w:pStyle w:val="null3"/>
                    <w:spacing w:before="90" w:after="105"/>
                    <w:jc w:val="both"/>
                  </w:pPr>
                  <w:r>
                    <w:rPr>
                      <w:rFonts w:ascii="仿宋_GB2312" w:hAnsi="仿宋_GB2312" w:cs="仿宋_GB2312" w:eastAsia="仿宋_GB2312"/>
                      <w:sz w:val="21"/>
                    </w:rPr>
                    <w:t>配带遮阳棚及定位终端；</w:t>
                  </w:r>
                </w:p>
                <w:p>
                  <w:pPr>
                    <w:pStyle w:val="null3"/>
                    <w:spacing w:before="90" w:after="105"/>
                    <w:jc w:val="both"/>
                  </w:pPr>
                  <w:r>
                    <w:rPr>
                      <w:rFonts w:ascii="仿宋_GB2312" w:hAnsi="仿宋_GB2312" w:cs="仿宋_GB2312" w:eastAsia="仿宋_GB2312"/>
                      <w:sz w:val="21"/>
                    </w:rPr>
                    <w:t>动力输出转速</w:t>
                  </w:r>
                  <w:r>
                    <w:rPr>
                      <w:rFonts w:ascii="仿宋_GB2312" w:hAnsi="仿宋_GB2312" w:cs="仿宋_GB2312" w:eastAsia="仿宋_GB2312"/>
                      <w:sz w:val="21"/>
                    </w:rPr>
                    <w:t>(r/min)：≥540；</w:t>
                  </w:r>
                </w:p>
                <w:p>
                  <w:pPr>
                    <w:pStyle w:val="null3"/>
                    <w:spacing w:before="90" w:after="105"/>
                    <w:jc w:val="both"/>
                  </w:pPr>
                  <w:r>
                    <w:rPr>
                      <w:rFonts w:ascii="仿宋_GB2312" w:hAnsi="仿宋_GB2312" w:cs="仿宋_GB2312" w:eastAsia="仿宋_GB2312"/>
                      <w:sz w:val="21"/>
                    </w:rPr>
                    <w:t>排挡数：</w:t>
                  </w:r>
                  <w:r>
                    <w:rPr>
                      <w:rFonts w:ascii="仿宋_GB2312" w:hAnsi="仿宋_GB2312" w:cs="仿宋_GB2312" w:eastAsia="仿宋_GB2312"/>
                      <w:sz w:val="21"/>
                    </w:rPr>
                    <w:t>≥8；</w:t>
                  </w:r>
                </w:p>
                <w:p>
                  <w:pPr>
                    <w:pStyle w:val="null3"/>
                    <w:spacing w:before="90" w:after="105"/>
                    <w:jc w:val="both"/>
                  </w:pPr>
                  <w:r>
                    <w:rPr>
                      <w:rFonts w:ascii="仿宋_GB2312" w:hAnsi="仿宋_GB2312" w:cs="仿宋_GB2312" w:eastAsia="仿宋_GB2312"/>
                      <w:sz w:val="21"/>
                    </w:rPr>
                    <w:t>作业幅宽：</w:t>
                  </w:r>
                  <w:r>
                    <w:rPr>
                      <w:rFonts w:ascii="仿宋_GB2312" w:hAnsi="仿宋_GB2312" w:cs="仿宋_GB2312" w:eastAsia="仿宋_GB2312"/>
                      <w:sz w:val="21"/>
                    </w:rPr>
                    <w:t>≥150cm；</w:t>
                  </w:r>
                </w:p>
                <w:p>
                  <w:pPr>
                    <w:pStyle w:val="null3"/>
                    <w:spacing w:before="90" w:after="105"/>
                    <w:jc w:val="both"/>
                  </w:pPr>
                  <w:r>
                    <w:rPr>
                      <w:rFonts w:ascii="仿宋_GB2312" w:hAnsi="仿宋_GB2312" w:cs="仿宋_GB2312" w:eastAsia="仿宋_GB2312"/>
                      <w:sz w:val="21"/>
                    </w:rPr>
                    <w:t>刀片数量：弯刀</w:t>
                  </w:r>
                  <w:r>
                    <w:rPr>
                      <w:rFonts w:ascii="仿宋_GB2312" w:hAnsi="仿宋_GB2312" w:cs="仿宋_GB2312" w:eastAsia="仿宋_GB2312"/>
                      <w:sz w:val="21"/>
                    </w:rPr>
                    <w:t>≥60、直刀≥30。</w:t>
                  </w:r>
                </w:p>
              </w:tc>
            </w:tr>
            <w:tr>
              <w:tc>
                <w:tcPr>
                  <w:tcW w:type="dxa" w:w="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after="105"/>
                    <w:jc w:val="center"/>
                  </w:pPr>
                  <w:r>
                    <w:rPr>
                      <w:rFonts w:ascii="仿宋_GB2312" w:hAnsi="仿宋_GB2312" w:cs="仿宋_GB2312" w:eastAsia="仿宋_GB2312"/>
                      <w:sz w:val="21"/>
                      <w:color w:val="000000"/>
                    </w:rPr>
                    <w:t>5</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after="105"/>
                    <w:jc w:val="both"/>
                  </w:pPr>
                  <w:r>
                    <w:rPr>
                      <w:rFonts w:ascii="仿宋_GB2312" w:hAnsi="仿宋_GB2312" w:cs="仿宋_GB2312" w:eastAsia="仿宋_GB2312"/>
                      <w:sz w:val="21"/>
                      <w:color w:val="000000"/>
                    </w:rPr>
                    <w:t>油菜脱粒机</w:t>
                  </w:r>
                </w:p>
              </w:tc>
              <w:tc>
                <w:tcPr>
                  <w:tcW w:type="dxa" w:w="3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after="105"/>
                    <w:jc w:val="center"/>
                  </w:pPr>
                  <w:r>
                    <w:rPr>
                      <w:rFonts w:ascii="仿宋_GB2312" w:hAnsi="仿宋_GB2312" w:cs="仿宋_GB2312" w:eastAsia="仿宋_GB2312"/>
                      <w:sz w:val="21"/>
                      <w:color w:val="000000"/>
                    </w:rPr>
                    <w:t>3</w:t>
                  </w:r>
                </w:p>
              </w:tc>
              <w:tc>
                <w:tcPr>
                  <w:tcW w:type="dxa" w:w="3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after="105"/>
                    <w:jc w:val="center"/>
                  </w:pPr>
                  <w:r>
                    <w:rPr>
                      <w:rFonts w:ascii="仿宋_GB2312" w:hAnsi="仿宋_GB2312" w:cs="仿宋_GB2312" w:eastAsia="仿宋_GB2312"/>
                      <w:sz w:val="21"/>
                      <w:color w:val="000000"/>
                    </w:rPr>
                    <w:t>台</w:t>
                  </w:r>
                </w:p>
              </w:tc>
              <w:tc>
                <w:tcPr>
                  <w:tcW w:type="dxa" w:w="16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after="105"/>
                    <w:ind w:right="165"/>
                    <w:jc w:val="both"/>
                  </w:pPr>
                  <w:r>
                    <w:rPr>
                      <w:rFonts w:ascii="仿宋_GB2312" w:hAnsi="仿宋_GB2312" w:cs="仿宋_GB2312" w:eastAsia="仿宋_GB2312"/>
                      <w:sz w:val="21"/>
                      <w:color w:val="000000"/>
                    </w:rPr>
                    <w:t>动力型式：内燃；</w:t>
                  </w:r>
                </w:p>
                <w:p>
                  <w:pPr>
                    <w:pStyle w:val="null3"/>
                    <w:spacing w:before="135" w:after="105"/>
                    <w:ind w:right="165"/>
                    <w:jc w:val="both"/>
                  </w:pPr>
                  <w:r>
                    <w:rPr>
                      <w:rFonts w:ascii="仿宋_GB2312" w:hAnsi="仿宋_GB2312" w:cs="仿宋_GB2312" w:eastAsia="仿宋_GB2312"/>
                      <w:sz w:val="21"/>
                      <w:color w:val="000000"/>
                    </w:rPr>
                    <w:t>动力功率：</w:t>
                  </w:r>
                  <w:r>
                    <w:rPr>
                      <w:rFonts w:ascii="仿宋_GB2312" w:hAnsi="仿宋_GB2312" w:cs="仿宋_GB2312" w:eastAsia="仿宋_GB2312"/>
                      <w:sz w:val="21"/>
                      <w:color w:val="000000"/>
                    </w:rPr>
                    <w:t>≥ 4.0kW;</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签订采购合同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货物进场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安装完毕验收合格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交货地点后，由使用单位根据合同对货物的名称、品牌、规格、产地、数量进行检查；验收不合格的成交供应商，必须在接到通知后7个日历日内确保货物通过验收。如接到通知后7个日历日内验收仍不合格，采购人可提出索赔或取消其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质保期：两年（参数中有具体要求的，按参数要求提供质保），成交供应商承诺的质保时间超过谈判文件要求的，按其承诺时间质保</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合同执行中发生争议的，当事人双方应协商解决。协商达不成一致时，可向当地行政仲裁机关申请仲裁或者向人民法院提请诉讼。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供应商需提供合法有效的统一社会信用代码营业执照（事业单位提供事业单位法人证书，自然人应提供身份证明文件）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应授权合法的人员参加谈判全过程</w:t>
            </w:r>
          </w:p>
        </w:tc>
        <w:tc>
          <w:tcPr>
            <w:tcW w:type="dxa" w:w="3322"/>
          </w:tcPr>
          <w:p>
            <w:pPr>
              <w:pStyle w:val="null3"/>
            </w:pPr>
            <w:r>
              <w:rPr>
                <w:rFonts w:ascii="仿宋_GB2312" w:hAnsi="仿宋_GB2312" w:cs="仿宋_GB2312" w:eastAsia="仿宋_GB2312"/>
              </w:rPr>
              <w:t>法定代表人直接参加投标的，须出具法定代表人身份证，法定代表人授权委托代表人参加投标的，须出具法定代表人授权委托书及授权代表人身份证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应具备健全的财务会计制度、履行合同所需的设备和专业技术能力、依法缴纳税收和社会保障资金，以及参加本项目采购活动前3年内经营活动无重大违法记录；投标人未被列入“信用中国”网站(https://www.creditchina.gov.cn)“失信被执行人”“重大税收违法案件当事人名单”中，也未列入“中国政府采购网”(https://www.ccgp.gov.cn)的“政府采购严重违法失信行为记录名单”</w:t>
            </w:r>
          </w:p>
        </w:tc>
        <w:tc>
          <w:tcPr>
            <w:tcW w:type="dxa" w:w="3322"/>
          </w:tcPr>
          <w:p>
            <w:pPr>
              <w:pStyle w:val="null3"/>
            </w:pPr>
            <w:r>
              <w:rPr>
                <w:rFonts w:ascii="仿宋_GB2312" w:hAnsi="仿宋_GB2312" w:cs="仿宋_GB2312" w:eastAsia="仿宋_GB2312"/>
              </w:rPr>
              <w:t>按照汉中市财政局《关于全面推行政府采购投标人基本资格条件承诺制的通知》(汉财办采管(2024)20号)文件要求，提供满足相应条件的资格承诺函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企业及法定代表人其法定代表人/负责人，不得被列入失信被执行人。</w:t>
            </w:r>
          </w:p>
        </w:tc>
        <w:tc>
          <w:tcPr>
            <w:tcW w:type="dxa" w:w="3322"/>
          </w:tcPr>
          <w:p>
            <w:pPr>
              <w:pStyle w:val="null3"/>
            </w:pPr>
            <w:r>
              <w:rPr>
                <w:rFonts w:ascii="仿宋_GB2312" w:hAnsi="仿宋_GB2312" w:cs="仿宋_GB2312" w:eastAsia="仿宋_GB2312"/>
              </w:rPr>
              <w:t>提供企业及法定代表人/负责人，在中国执行信息公开网、中国裁判文书网的截图及承诺书（格式自拟）。</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w:t>
            </w:r>
          </w:p>
        </w:tc>
        <w:tc>
          <w:tcPr>
            <w:tcW w:type="dxa" w:w="3322"/>
          </w:tcPr>
          <w:p>
            <w:pPr>
              <w:pStyle w:val="null3"/>
            </w:pPr>
            <w:r>
              <w:rPr>
                <w:rFonts w:ascii="仿宋_GB2312" w:hAnsi="仿宋_GB2312" w:cs="仿宋_GB2312" w:eastAsia="仿宋_GB2312"/>
              </w:rPr>
              <w:t>响应文件应按要求进行签章</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 投标报价分项价格表.docx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 投标报价分项价格表.docx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带"★"的参数需求为实质性要求，供应商必须响应并满足的参数需求，供应商应在响应文件提供能够证明所投产品技术参数的证明材料(提供生产厂家确认的、相应的功能证明材料（包括但不限于测试报告、官网和功能截图等），产品来源渠道合法的证明文件（包括但不限于销售协议、代理协议、原厂授权等），有一项负偏离或无证明材料，视该供应商为无效响应。</w:t>
            </w:r>
          </w:p>
        </w:tc>
        <w:tc>
          <w:tcPr>
            <w:tcW w:type="dxa" w:w="1661"/>
          </w:tcPr>
          <w:p>
            <w:pPr>
              <w:pStyle w:val="null3"/>
            </w:pPr>
            <w:r>
              <w:rPr>
                <w:rFonts w:ascii="仿宋_GB2312" w:hAnsi="仿宋_GB2312" w:cs="仿宋_GB2312" w:eastAsia="仿宋_GB2312"/>
              </w:rPr>
              <w:t>产品技术参数表 证明材料.docx 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详见附件：投标报价分项价格表.docx</w:t>
      </w:r>
    </w:p>
    <w:p>
      <w:pPr>
        <w:pStyle w:val="null3"/>
        <w:ind w:firstLine="960"/>
      </w:pPr>
      <w:r>
        <w:rPr>
          <w:rFonts w:ascii="仿宋_GB2312" w:hAnsi="仿宋_GB2312" w:cs="仿宋_GB2312" w:eastAsia="仿宋_GB2312"/>
        </w:rPr>
        <w:t>详见附件：证明材料.docx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