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版本号：ZYTT2025-HZ03520251204001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略阳县湿地确权调查项目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ZYTT2025-HZ035</w:t>
      </w:r>
      <w:r>
        <w:br/>
      </w:r>
      <w:r>
        <w:br/>
      </w:r>
      <w:r>
        <w:br/>
      </w:r>
    </w:p>
    <w:p>
      <w:pPr>
        <w:pStyle w:val="null3"/>
        <w:jc w:val="center"/>
        <w:outlineLvl w:val="2"/>
      </w:pPr>
      <w:r>
        <w:rPr>
          <w:rFonts w:ascii="仿宋_GB2312" w:hAnsi="仿宋_GB2312" w:cs="仿宋_GB2312" w:eastAsia="仿宋_GB2312"/>
          <w:sz w:val="28"/>
          <w:b/>
        </w:rPr>
        <w:t>略阳县自然资源局</w:t>
      </w:r>
    </w:p>
    <w:p>
      <w:pPr>
        <w:pStyle w:val="null3"/>
        <w:jc w:val="center"/>
        <w:outlineLvl w:val="2"/>
      </w:pPr>
      <w:r>
        <w:rPr>
          <w:rFonts w:ascii="仿宋_GB2312" w:hAnsi="仿宋_GB2312" w:cs="仿宋_GB2312" w:eastAsia="仿宋_GB2312"/>
          <w:sz w:val="28"/>
          <w:b/>
        </w:rPr>
        <w:t>陕西正圆通泰项目管理有限公司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陕西正圆通泰项目管理有限公司</w:t>
      </w:r>
      <w:r>
        <w:rPr>
          <w:rFonts w:ascii="仿宋_GB2312" w:hAnsi="仿宋_GB2312" w:cs="仿宋_GB2312" w:eastAsia="仿宋_GB2312"/>
        </w:rPr>
        <w:t>（以下简称“代理机构”）受</w:t>
      </w:r>
      <w:r>
        <w:rPr>
          <w:rFonts w:ascii="仿宋_GB2312" w:hAnsi="仿宋_GB2312" w:cs="仿宋_GB2312" w:eastAsia="仿宋_GB2312"/>
        </w:rPr>
        <w:t>略阳县自然资源局</w:t>
      </w:r>
      <w:r>
        <w:rPr>
          <w:rFonts w:ascii="仿宋_GB2312" w:hAnsi="仿宋_GB2312" w:cs="仿宋_GB2312" w:eastAsia="仿宋_GB2312"/>
        </w:rPr>
        <w:t>委托，拟对</w:t>
      </w:r>
      <w:r>
        <w:rPr>
          <w:rFonts w:ascii="仿宋_GB2312" w:hAnsi="仿宋_GB2312" w:cs="仿宋_GB2312" w:eastAsia="仿宋_GB2312"/>
        </w:rPr>
        <w:t>略阳县湿地确权调查项目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ZYTT2025-HZ035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略阳县湿地确权调查项目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略阳县湿地确权调查项目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采购包1（略阳县湿地确权调查项目）：属于专门面向中小企业采购。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身份证明或授权委托书：法定代表人直接参加磋商的，须出具法定代表人（单位负责人）身份证明。法定代表人授权代表参加磋商的，须出具法定代表人（单位负责人）授权委托书及被授权人身份证复印件；</w:t>
      </w:r>
    </w:p>
    <w:p>
      <w:pPr>
        <w:pStyle w:val="null3"/>
      </w:pPr>
      <w:r>
        <w:rPr>
          <w:rFonts w:ascii="仿宋_GB2312" w:hAnsi="仿宋_GB2312" w:cs="仿宋_GB2312" w:eastAsia="仿宋_GB2312"/>
        </w:rPr>
        <w:t>3、汉中市政府采购供应商资格承诺函：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p>
      <w:pPr>
        <w:pStyle w:val="null3"/>
      </w:pPr>
      <w:r>
        <w:rPr>
          <w:rFonts w:ascii="仿宋_GB2312" w:hAnsi="仿宋_GB2312" w:cs="仿宋_GB2312" w:eastAsia="仿宋_GB2312"/>
        </w:rPr>
        <w:t>4、资质要求：供应商需具有国家测绘行政主管部门颁发的乙级及以上测绘资质证书（包含界线与不动产测绘专业）。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略阳县狮凤中路人力资源大厦8楼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13891658090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陕西正圆通泰项目管理有限公司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汉中市汉台区滨江东路晨晖帝景府A1号楼2402室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0916-8890636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开户名称：陕西正圆通泰项目管理有限公司</w:t>
            </w:r>
          </w:p>
          <w:p>
            <w:pPr>
              <w:pStyle w:val="null3"/>
            </w:pPr>
            <w:r>
              <w:rPr>
                <w:rFonts w:ascii="仿宋_GB2312" w:hAnsi="仿宋_GB2312" w:cs="仿宋_GB2312" w:eastAsia="仿宋_GB2312"/>
              </w:rPr>
              <w:t>开户银行：中国建设银行股份有限公司西安丈八北路支行</w:t>
            </w:r>
          </w:p>
          <w:p>
            <w:pPr>
              <w:pStyle w:val="null3"/>
            </w:pPr>
            <w:r>
              <w:rPr>
                <w:rFonts w:ascii="仿宋_GB2312" w:hAnsi="仿宋_GB2312" w:cs="仿宋_GB2312" w:eastAsia="仿宋_GB2312"/>
              </w:rPr>
              <w:t>银行账号：6105 0192 8600 0000 0006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成交价，采购代理机构按照国家计委关于印发《招标代理服务收费管理暂行办法》的通知（计价格〔2002〕1980号）和《国家发展和改革委员会办公厅关于招标代理服务收费有关问题的通知》（发改办价格〔2003〕857号）文件的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略阳县自然资源局</w:t>
      </w:r>
      <w:r>
        <w:rPr>
          <w:rFonts w:ascii="仿宋_GB2312" w:hAnsi="仿宋_GB2312" w:cs="仿宋_GB2312" w:eastAsia="仿宋_GB2312"/>
        </w:rPr>
        <w:t>和</w:t>
      </w:r>
      <w:r>
        <w:rPr>
          <w:rFonts w:ascii="仿宋_GB2312" w:hAnsi="仿宋_GB2312" w:cs="仿宋_GB2312" w:eastAsia="仿宋_GB2312"/>
        </w:rPr>
        <w:t>陕西正圆通泰项目管理有限公司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略阳县自然资源局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陕西正圆通泰项目管理有限公司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陕西正圆通泰项目管理有限公司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陕西正圆通泰项目管理有限公司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联系电话：0916-8890636</w:t>
      </w:r>
    </w:p>
    <w:p>
      <w:pPr>
        <w:pStyle w:val="null3"/>
      </w:pPr>
      <w:r>
        <w:rPr>
          <w:rFonts w:ascii="仿宋_GB2312" w:hAnsi="仿宋_GB2312" w:cs="仿宋_GB2312" w:eastAsia="仿宋_GB2312"/>
        </w:rPr>
        <w:t>地址：汉中市汉台区滨江东路晨晖帝景府A1号楼2402室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略阳县湿地确权调查项目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290,000.00</w:t>
      </w:r>
    </w:p>
    <w:p>
      <w:pPr>
        <w:pStyle w:val="null3"/>
      </w:pPr>
      <w:r>
        <w:rPr>
          <w:rFonts w:ascii="仿宋_GB2312" w:hAnsi="仿宋_GB2312" w:cs="仿宋_GB2312" w:eastAsia="仿宋_GB2312"/>
        </w:rPr>
        <w:t>采购包最高限价（元）: 290,000.00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略阳县自然资源局湿地确权调查项目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标的名称：略阳县自然资源局湿地确权调查项目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采购需求</w:t>
            </w:r>
          </w:p>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采购需求背景</w:t>
            </w:r>
          </w:p>
          <w:p>
            <w:pPr>
              <w:pStyle w:val="null3"/>
              <w:ind w:firstLine="560"/>
              <w:jc w:val="both"/>
            </w:pPr>
            <w:r>
              <w:rPr>
                <w:rFonts w:ascii="仿宋_GB2312" w:hAnsi="仿宋_GB2312" w:cs="仿宋_GB2312" w:eastAsia="仿宋_GB2312"/>
                <w:sz w:val="21"/>
              </w:rPr>
              <w:t>根据自然资源统一确权工作技术要求，我局积极主动与县林业局、县水利局、汉中市环保局略阳分局等部门，收集湿地确权方面相关资料，通过内业分析比对，初步形成我县湿地确权前期调查数据，</w:t>
            </w:r>
            <w:r>
              <w:rPr>
                <w:rFonts w:ascii="仿宋_GB2312" w:hAnsi="仿宋_GB2312" w:cs="仿宋_GB2312" w:eastAsia="仿宋_GB2312"/>
                <w:sz w:val="21"/>
              </w:rPr>
              <w:t>为</w:t>
            </w:r>
            <w:r>
              <w:rPr>
                <w:rFonts w:ascii="仿宋_GB2312" w:hAnsi="仿宋_GB2312" w:cs="仿宋_GB2312" w:eastAsia="仿宋_GB2312"/>
                <w:sz w:val="21"/>
              </w:rPr>
              <w:t>查清略阳县湿地资源本底，理清权利主体，划清权利边界，加强资源保护，建立健全略阳县湿地保护制度，为逐步建立湿地产权清晰、激励约束并重、生态系统完整的生态文明体制奠定基础。</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采购需求明细</w:t>
            </w:r>
          </w:p>
          <w:p>
            <w:pPr>
              <w:pStyle w:val="null3"/>
              <w:ind w:firstLine="640"/>
              <w:jc w:val="both"/>
            </w:pPr>
            <w:r>
              <w:rPr>
                <w:rFonts w:ascii="仿宋_GB2312" w:hAnsi="仿宋_GB2312" w:cs="仿宋_GB2312" w:eastAsia="仿宋_GB2312"/>
                <w:sz w:val="21"/>
              </w:rPr>
              <w:t>本次采购内容为略阳县湿地（内陆滩涂）确权服务，包括湿地（内陆滩涂）的权属调查、地籍测量、数据上图入库、协助完成登簿等工作。具体任务包括：</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1）确定湿地（内陆滩涂）范围，预划单元，并实地核实单元界线。</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2）开展地籍调查，划清湿地（内陆滩涂）的“四条边界”（全民所有和集体所有之间的边界、全民所有不同层级政府行使所有权之间的边界、不同集体所有者的边界、不同类型自然资源之间的边界）。</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3）将调查成果数据录入自然资源确权信息系统，按照国家标准规范建设地籍调查（自然资源）数据库和自然资源确权数据库，制作成果图件。</w:t>
            </w:r>
          </w:p>
          <w:p>
            <w:pPr>
              <w:pStyle w:val="null3"/>
              <w:ind w:firstLine="640"/>
              <w:jc w:val="both"/>
            </w:pPr>
            <w:r>
              <w:rPr>
                <w:rFonts w:ascii="仿宋_GB2312" w:hAnsi="仿宋_GB2312" w:cs="仿宋_GB2312" w:eastAsia="仿宋_GB2312"/>
                <w:sz w:val="21"/>
              </w:rPr>
              <w:t>（</w:t>
            </w:r>
            <w:r>
              <w:rPr>
                <w:rFonts w:ascii="仿宋_GB2312" w:hAnsi="仿宋_GB2312" w:cs="仿宋_GB2312" w:eastAsia="仿宋_GB2312"/>
                <w:sz w:val="21"/>
              </w:rPr>
              <w:t>4）协助完成湿地（内陆滩涂）通告、公告、审核、登簿工作。</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预期效益</w:t>
            </w:r>
          </w:p>
          <w:p>
            <w:pPr>
              <w:pStyle w:val="null3"/>
              <w:ind w:firstLine="560"/>
              <w:jc w:val="left"/>
            </w:pPr>
            <w:r>
              <w:rPr>
                <w:rFonts w:ascii="仿宋_GB2312" w:hAnsi="仿宋_GB2312" w:cs="仿宋_GB2312" w:eastAsia="仿宋_GB2312"/>
                <w:sz w:val="21"/>
                <w:color w:val="000000"/>
              </w:rPr>
              <w:t>（一）生态效益</w:t>
            </w:r>
          </w:p>
          <w:p>
            <w:pPr>
              <w:pStyle w:val="null3"/>
              <w:ind w:firstLine="560"/>
              <w:jc w:val="left"/>
            </w:pPr>
            <w:r>
              <w:rPr>
                <w:rFonts w:ascii="仿宋_GB2312" w:hAnsi="仿宋_GB2312" w:cs="仿宋_GB2312" w:eastAsia="仿宋_GB2312"/>
                <w:sz w:val="21"/>
                <w:color w:val="000000"/>
              </w:rPr>
              <w:t>通过开展湿地（内陆滩涂）确权，明确湿地资源的权属边界和保护责任，有助于加强湿地生态保护，维护区域生态安全。湿地资源的有效保护将改善生态环境质量，提高生态系统的稳定性和可持续性，为略阳县的生态文明建设提供有力支撑。</w:t>
            </w:r>
          </w:p>
          <w:p>
            <w:pPr>
              <w:pStyle w:val="null3"/>
              <w:ind w:firstLine="560"/>
              <w:jc w:val="left"/>
            </w:pPr>
            <w:r>
              <w:rPr>
                <w:rFonts w:ascii="仿宋_GB2312" w:hAnsi="仿宋_GB2312" w:cs="仿宋_GB2312" w:eastAsia="仿宋_GB2312"/>
                <w:sz w:val="21"/>
                <w:color w:val="000000"/>
              </w:rPr>
              <w:t>（二）经济效益</w:t>
            </w:r>
          </w:p>
          <w:p>
            <w:pPr>
              <w:pStyle w:val="null3"/>
              <w:ind w:firstLine="560"/>
              <w:jc w:val="left"/>
            </w:pPr>
            <w:r>
              <w:rPr>
                <w:rFonts w:ascii="仿宋_GB2312" w:hAnsi="仿宋_GB2312" w:cs="仿宋_GB2312" w:eastAsia="仿宋_GB2312"/>
                <w:sz w:val="21"/>
                <w:color w:val="000000"/>
              </w:rPr>
              <w:t>湿地资源的合理利用和保护将促进生态旅游、渔业等产业的发展，为略阳县带来经济效益。同时，确权有助于避免湿地资源的无序开发和破坏，减少因资源纠纷导致的经济损失，提高资源利用效率。</w:t>
            </w:r>
          </w:p>
          <w:p>
            <w:pPr>
              <w:pStyle w:val="null3"/>
              <w:ind w:firstLine="560"/>
              <w:jc w:val="left"/>
            </w:pPr>
            <w:r>
              <w:rPr>
                <w:rFonts w:ascii="仿宋_GB2312" w:hAnsi="仿宋_GB2312" w:cs="仿宋_GB2312" w:eastAsia="仿宋_GB2312"/>
                <w:sz w:val="21"/>
                <w:color w:val="000000"/>
              </w:rPr>
              <w:t>（三）社会效益</w:t>
            </w:r>
          </w:p>
          <w:p>
            <w:pPr>
              <w:pStyle w:val="null3"/>
              <w:ind w:firstLine="560"/>
              <w:jc w:val="left"/>
            </w:pPr>
            <w:r>
              <w:rPr>
                <w:rFonts w:ascii="仿宋_GB2312" w:hAnsi="仿宋_GB2312" w:cs="仿宋_GB2312" w:eastAsia="仿宋_GB2312"/>
                <w:sz w:val="21"/>
                <w:color w:val="000000"/>
              </w:rPr>
              <w:t>湿地（内陆滩涂）确权将增强公众对湿地资源的保护意识，促进社会参与湿地保护工作。通过确权，可以明确湿地资源的权属关系，减少因权属不清引发的社会矛盾，维护社会稳定。此外，湿地资源的保护和利用将为当地居民提供更多的就业机会，改善民生。</w:t>
            </w:r>
          </w:p>
          <w:p>
            <w:pPr>
              <w:pStyle w:val="null3"/>
              <w:ind w:firstLine="560"/>
              <w:jc w:val="left"/>
            </w:pPr>
            <w:r>
              <w:rPr>
                <w:rFonts w:ascii="仿宋_GB2312" w:hAnsi="仿宋_GB2312" w:cs="仿宋_GB2312" w:eastAsia="仿宋_GB2312"/>
                <w:sz w:val="21"/>
                <w:color w:val="000000"/>
              </w:rPr>
              <w:t>（四）管理效益</w:t>
            </w:r>
          </w:p>
          <w:p>
            <w:pPr>
              <w:pStyle w:val="null3"/>
              <w:ind w:firstLine="560"/>
              <w:jc w:val="left"/>
            </w:pPr>
            <w:r>
              <w:rPr>
                <w:rFonts w:ascii="仿宋_GB2312" w:hAnsi="仿宋_GB2312" w:cs="仿宋_GB2312" w:eastAsia="仿宋_GB2312"/>
                <w:sz w:val="21"/>
                <w:color w:val="000000"/>
              </w:rPr>
              <w:t>确权将实现湿地资源的精细化管理，为湿地资源的规划、利用和保护提供科学依据。通过建立湿地资源数据库和信息系统，可以提高管理效率，实现湿地资源的动态监测和评估，为政府决策提供有力支持。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陕西省略阳县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符合国家及行业相关质量要求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提交成果资料</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完成采购人全部要求并且验收合格</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法定代表人直接参加磋商的，须出具法定代表人（单位负责人）身份证明。法定代表人授权代表参加磋商的，须出具法定代表人（单位负责人）授权委托书及被授权人身份证复印件；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 www. ccgp.gov.cn )；（供应商应按照汉中市财政局《关于全面推行政府采购供应商基本资格条件承诺制的通知》（汉采办采管〔2024〕20号）文件要求，需提供加盖公章的《汉中市政府采购供应商资格承诺函》）；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供应商需具有国家测绘行政主管部门颁发的乙级及以上测绘资质证书（包含界线与不动产测绘专业）。</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供应商提供2022年1月1日至今完成的类似项目业绩，每提供一份得2.5分，最多得5分。 注:以合同或中标（成交）通知书的复印件为准。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vMerge/>
          </w:tcPr>
          <w:p/>
        </w:tc>
        <w:tc>
          <w:tcPr>
            <w:tcW w:type="dxa" w:w="1661"/>
          </w:tcPr>
          <w:p>
            <w:pPr>
              <w:pStyle w:val="null3"/>
            </w:pPr>
            <w:r>
              <w:rPr>
                <w:rFonts w:ascii="仿宋_GB2312" w:hAnsi="仿宋_GB2312" w:cs="仿宋_GB2312" w:eastAsia="仿宋_GB2312"/>
              </w:rPr>
              <w:t>调查工作思路</w:t>
            </w:r>
          </w:p>
        </w:tc>
        <w:tc>
          <w:tcPr>
            <w:tcW w:type="dxa" w:w="2492"/>
          </w:tcPr>
          <w:p>
            <w:pPr>
              <w:pStyle w:val="null3"/>
            </w:pPr>
            <w:r>
              <w:rPr>
                <w:rFonts w:ascii="仿宋_GB2312" w:hAnsi="仿宋_GB2312" w:cs="仿宋_GB2312" w:eastAsia="仿宋_GB2312"/>
              </w:rPr>
              <w:t>工作重点突出，思路清晰，组织合理，表达清楚，明晰调查工作总体思路和预期目标。 1、方案全面、科学合理、规范，可行性强，得5-3.1分； 2、方案合理、规范，具有一定实施性，得3-2.1分； 3、方案简略，可行性欠佳，得2-1分；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根据本项目具体情况制订总体方案，方案描述详细，架构完整，满足国家规范及磋商文件要求，能充分体现项目需求。 1、方案全面、科学合理、规范，可行性强，得20-12分； 2、方案合理、规范，具有一定实施性，得11-6分； 3、方案简略，可行性欠佳，得5-1分； 4、不提供不得分。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根据供应商提供的进度措施方案进行评审，方案内容应包括但不限于以下关键要点内容：1.提供针对本项目进度控制目标；2.提供针对本项目进度控制方法；3.提供针对本项目进度控制流程，进行横向比较赋分。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提供的质量保证措施方案进行评审，方案内容应包括但不限于以下关键要点内容：1.提供针对本项目质量控制目标：2.提供针对本项目质量控制要求；3.提供针对本项目质量控制措施，进行横向比较赋分。 1、方案全面、科学合理、规范，可行性强，得10-6分； 2、方案合理、规范，具有一定实施性，得5-3分； 3、方案简略，可行性欠佳，得2-1分；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为保证项目不发生泄密，确保项目的保密性，安全性需采取有效的预防措施，制订保密计划、方案等。 1、方案全面、科学合理、规范，可行性强，得5-3.1分； 2、方案合理、规范，具有一定实施性，得3-2.1分； 3、方案简略，可行性欠佳，得2-1分；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提供完善的售后服务方案满足本项目需求，售后服务措施和承诺详细可行，并阐明可提供的咨询或后续服务内容，进行横向比较赋分。 1、方案全面、科学合理、规范，可行性强，得5-3.1分； 2、方案合理、规范，具有一定实施性，得3-2.1分； 3、方案简略，可行性欠佳，得2-1分；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针对本项目提供项目配备人员，人员具有丰富从业工作经验，且专业配置全面合理，对本项目项目团队人员组成进行综合评审。 1、项目团队人员组成合理，分工明确，职责清晰得15-9分； 2、项目团队人组成基本合理，分工基本明确，职责基本清晰得8-5分； 3、人员配备简陋得4-1分； 4、未提供此项内容不得分。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本项目组织实施人员.docx</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对项目重难点、关键性技术问题的把握准确、分析到位，所提供的对策措施完善，有较强的针对性。 1、方案全面、科学合理、规范，可行性强，得5-3.1分； 2、方案合理、规范，具有一定实施性，得3-2.1分； 3、方案简略，可行性欠佳，得2-1分；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1、上限为采购预算价和最高限价，即报价大于上限价视为无效标； 2、以满足本次磋商文件要求的最低报价为评审基准价，其价格为满分； 3、其他供应商报价得分=[评审基准价/最后磋商报价]×20%×100 ； 注：本项目专门面向中小微企业采购，不再执行价格优惠政策。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详见附件：本项目组织实施人员.docx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