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版本号：SXWB-ZFCG-LY-[2025]032.1B120250818001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略阳县2025年83处农村生活污水处理设施运营维护管理服务项目(二次)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SXWB-ZFCG-LY-[2025]032.1B1</w:t>
      </w:r>
      <w:r>
        <w:br/>
      </w:r>
      <w:r>
        <w:br/>
      </w:r>
      <w:r>
        <w:br/>
      </w:r>
    </w:p>
    <w:p>
      <w:pPr>
        <w:pStyle w:val="null3"/>
        <w:jc w:val="center"/>
        <w:outlineLvl w:val="2"/>
      </w:pPr>
      <w:r>
        <w:rPr>
          <w:rFonts w:ascii="仿宋_GB2312" w:hAnsi="仿宋_GB2312" w:cs="仿宋_GB2312" w:eastAsia="仿宋_GB2312"/>
          <w:sz w:val="28"/>
          <w:b/>
        </w:rPr>
        <w:t>略阳县住房和城乡建设管理局</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略阳县住房和城乡建设管理局</w:t>
      </w:r>
      <w:r>
        <w:rPr>
          <w:rFonts w:ascii="仿宋_GB2312" w:hAnsi="仿宋_GB2312" w:cs="仿宋_GB2312" w:eastAsia="仿宋_GB2312"/>
        </w:rPr>
        <w:t>委托，拟对</w:t>
      </w:r>
      <w:r>
        <w:rPr>
          <w:rFonts w:ascii="仿宋_GB2312" w:hAnsi="仿宋_GB2312" w:cs="仿宋_GB2312" w:eastAsia="仿宋_GB2312"/>
        </w:rPr>
        <w:t>略阳县2025年83处农村生活污水处理设施运营维护管理服务项目(二次)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SXWB-ZFCG-LY-[2025]032.1B1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略阳县2025年83处农村生活污水处理设施运营维护管理服务项目(二次)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2025年农村生活污水处理设施运营维护管理，确保全县17个镇（街）83个农村生活污水处理设施正常运行、达标排放。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采购包1（略阳县2025年83处农村生活污水处理设施运营维护管理服务项目）：属于专门面向小微企业采购。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略阳县菜籽坝新区住建局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略阳县住房和城乡建设管理局经办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0916-4825277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下浮5%收取。由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略阳县住房和城乡建设管理局</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略阳县住房和城乡建设管理局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按照国际强制性标准和技术规范执行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全县17个镇（街）已建成并投入使用的农村生活污水处理设施共计83个，为了确保这些污水处理设施能够正常运行，出水排放达标发挥其应有的环保和社会效益。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1,906,000.00</w:t>
      </w:r>
    </w:p>
    <w:p>
      <w:pPr>
        <w:pStyle w:val="null3"/>
      </w:pPr>
      <w:r>
        <w:rPr>
          <w:rFonts w:ascii="仿宋_GB2312" w:hAnsi="仿宋_GB2312" w:cs="仿宋_GB2312" w:eastAsia="仿宋_GB2312"/>
        </w:rPr>
        <w:t>采购包最高限价（元）: 1,906,000.00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1906000</w:t>
            </w:r>
          </w:p>
        </w:tc>
        <w:tc>
          <w:tcPr>
            <w:tcW w:type="dxa" w:w="831"/>
          </w:tcPr>
          <w:p>
            <w:pPr>
              <w:pStyle w:val="null3"/>
              <w:jc w:val="right"/>
            </w:pPr>
            <w:r>
              <w:rPr>
                <w:rFonts w:ascii="仿宋_GB2312" w:hAnsi="仿宋_GB2312" w:cs="仿宋_GB2312" w:eastAsia="仿宋_GB2312"/>
              </w:rPr>
              <w:t>83.00</w:t>
            </w:r>
          </w:p>
        </w:tc>
        <w:tc>
          <w:tcPr>
            <w:tcW w:type="dxa" w:w="831"/>
          </w:tcPr>
          <w:p>
            <w:pPr>
              <w:pStyle w:val="null3"/>
              <w:jc w:val="right"/>
            </w:pPr>
            <w:r>
              <w:rPr>
                <w:rFonts w:ascii="仿宋_GB2312" w:hAnsi="仿宋_GB2312" w:cs="仿宋_GB2312" w:eastAsia="仿宋_GB2312"/>
              </w:rPr>
              <w:t>1,906,000.00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标的名称：1906000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 全县17个镇（街）83处污水处理设施设备维护、污泥处置、报表台账管理等，涉及费用包含人工工资、电费、药剂费、</w:t>
            </w:r>
            <w:r>
              <w:rPr>
                <w:rFonts w:ascii="仿宋_GB2312" w:hAnsi="仿宋_GB2312" w:cs="仿宋_GB2312" w:eastAsia="仿宋_GB2312"/>
                <w:sz w:val="24"/>
                <w:color w:val="000000"/>
              </w:rPr>
              <w:t>日常维保及耗材费、车辆使用费、化粪池清淤、污泥处置费、设备检修费（不包括设备采购和维修改造费）、日常检测费等相关费用。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略阳县住建局一楼会议室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违约责任根据合同约定和年度综合考核得分，进行是否合格评判。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按照合同约定支付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提交的响应文件有下列情况之一，其响应文件无效，评标委员会应写明无效理由。(1)响应文件中未按照磋商文件规定要求签署、盖章的；(2)投标有效期不足的或无有效期的；(3)投标报价超过磋商文件中规定的采购预算或最高限价或标的金额的；(4)不满足磋商文件中实质性条款要求的；(5)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商务应答表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根据供应商提供的项目运营方案进行综合审核（供应商提供运营方案，包括但不限于主要维护工作内容，设备维修，配件更换、巡查项目及周期，备品备件及故障处理措施，及时有效等方案完善，思路清晰，逻辑严密，符合相关规范及地方法规要求，有较强的指导性及可操作性。）： （1）总体方案详细、思路清晰，可行性高，对项目方向的理解准确、针对性强，与采购内容及要求契合度高，得（12-20）分； （2）总体方案比较详细、思路较清晰，基本可行，对项目方向的理解较准确、针对性较强，与采购内容及要求契合度较高 ，得（6-11.9）分； （3）总体方案合理性、可行性较差，对项目方向的理解不准确，与采购内容及要求契合度低，得（0.1-5.9）分。无内容不得分。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服务质量保证措施，结合本项目实际情况、有详细完整的服务质量保证措施。 （1）措施详细完整、可行性、针对性强，能高质量的确保项目服务质量，得10-15分；（2）备品备件保障措施相对完整，有一定的可行性及针对性以保证项目质量，得5-9.9分；（3）保障措施简略、可行性存在不足，0.1-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进度保证方案提供项目实施的进度安排及按时完成工作内容的保证措施。 （1）措施科学、合理、有效，措施到位，针对性完全满足采购需求：6-10分；（2）措施基本科学合理，措施基本到位，可以基本满足本项目的服务需求，但个别细节需进一步完善或提高：3-5.9分；（3）措施针对性不强：0.1-2.9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重难点分析及控制措施 根据项目具体情况提出难点、重点进行分析并提出控制措施。 （1）分析内容准确，控制措施合理得5-8分；（2）分析内容基本准确，控制措施基本合理得3-4.9分；（3）分析内容和控制措施存在缺陷，无指导性得 0.1-2.9分；未提供相关内容不得分。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针对服务过程中各类突发事件提供应急响应方案。（1）预案详细完整、可行性、针对性强，能高质量的确保项目服务质量，得5-7分；（2）预案相对完整，有一定的可行性及针对性以保证项目质量，得3-4.9分；（3）预案简略、可行性存在不足，得0.1-2.9分；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定期组织操作及维护人员技术培训，有完整的培训方案，列出详细的培训内容、培训方式等说明。 （1）培训方案详细完整，可执行性强，针对性强，得6-10分；（2）培训方案相对完整，有一定执行性和针对性，得3-5.9分；（3）培训方案简略，可行性和执行性不足，得0.1-2.9分，未提供不得分。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拟投入本项目实施服务人员</w:t>
            </w:r>
          </w:p>
        </w:tc>
        <w:tc>
          <w:tcPr>
            <w:tcW w:type="dxa" w:w="2492"/>
          </w:tcPr>
          <w:p>
            <w:pPr>
              <w:pStyle w:val="null3"/>
            </w:pPr>
            <w:r>
              <w:rPr>
                <w:rFonts w:ascii="仿宋_GB2312" w:hAnsi="仿宋_GB2312" w:cs="仿宋_GB2312" w:eastAsia="仿宋_GB2312"/>
              </w:rPr>
              <w:t>拟投入本项目实施服务人员 根据供应商提供的拟派项目实施服务人员情况进行评审。 （1）拟投入人员结构合理，经验丰富，能够满足运维周期需要得6-10分；（2）拟投入人员结构基本合理，有基本的从业经验，基本能够满足运维周期需要得 3-5.9分；（3）拟投入人员结构不够合理，经验有欠缺，不能够满足运维周期需要得0.1-2.9分； 无内容不得分。 注：须提供身份证或毕业证或岗位证书等。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各供应商应完整、准确地表述出针对本次项目的服务承诺（包含针对本项目的服务质量目标、服务期限及服务过程中的人员到岗情况等） （1）承诺科学、合理、有效，到位，针对性完全满足服务需求：3-5分；（2）承诺基本科学合理，基本到位，可以基本满足本项目的服务需求，但个别细节需进一步完善或提高：1-2.9分；（3）承诺针对性不强：0.1-0.9分；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提供供应商2022年至今完成的类似项目业绩，响应文件中附有其业绩证明材料（需提供合同复印件加盖公章）每提供一个计2.5分，满分5分。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