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64F3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3" w:lineRule="atLeast"/>
        <w:ind w:left="0" w:right="0" w:firstLine="0"/>
        <w:jc w:val="center"/>
        <w:rPr>
          <w:rFonts w:hint="eastAsia" w:ascii="宋体" w:hAnsi="宋体" w:eastAsia="仿宋" w:cs="宋体"/>
          <w:b/>
          <w:bCs/>
          <w:i w:val="0"/>
          <w:iCs w:val="0"/>
          <w:caps w:val="0"/>
          <w:color w:val="000000" w:themeColor="text1"/>
          <w:spacing w:val="0"/>
          <w:sz w:val="36"/>
          <w:szCs w:val="36"/>
          <w:lang w:eastAsia="zh-CN"/>
          <w14:textFill>
            <w14:solidFill>
              <w14:schemeClr w14:val="tx1"/>
            </w14:solidFill>
          </w14:textFill>
        </w:rPr>
      </w:pPr>
      <w:r>
        <w:rPr>
          <w:rFonts w:hint="eastAsia" w:ascii="仿宋" w:hAnsi="仿宋" w:eastAsia="仿宋" w:cs="仿宋"/>
          <w:b/>
          <w:bCs/>
          <w:i w:val="0"/>
          <w:iCs w:val="0"/>
          <w:caps w:val="0"/>
          <w:color w:val="000000" w:themeColor="text1"/>
          <w:spacing w:val="0"/>
          <w:sz w:val="36"/>
          <w:szCs w:val="36"/>
          <w:bdr w:val="none" w:color="auto" w:sz="0" w:space="0"/>
          <w:shd w:val="clear" w:fill="FFFFFF"/>
          <w14:textFill>
            <w14:solidFill>
              <w14:schemeClr w14:val="tx1"/>
            </w14:solidFill>
          </w14:textFill>
        </w:rPr>
        <w:t>第八章 拟签订采购合同文本</w:t>
      </w:r>
      <w:r>
        <w:rPr>
          <w:rFonts w:hint="eastAsia" w:ascii="仿宋" w:hAnsi="仿宋" w:eastAsia="仿宋" w:cs="仿宋"/>
          <w:b/>
          <w:bCs/>
          <w:i w:val="0"/>
          <w:iCs w:val="0"/>
          <w:caps w:val="0"/>
          <w:color w:val="000000" w:themeColor="text1"/>
          <w:spacing w:val="0"/>
          <w:sz w:val="36"/>
          <w:szCs w:val="36"/>
          <w:bdr w:val="none" w:color="auto" w:sz="0" w:space="0"/>
          <w:shd w:val="clear" w:fill="FFFFFF"/>
          <w:lang w:eastAsia="zh-CN"/>
          <w14:textFill>
            <w14:solidFill>
              <w14:schemeClr w14:val="tx1"/>
            </w14:solidFill>
          </w14:textFill>
        </w:rPr>
        <w:t>（仅供参考）</w:t>
      </w:r>
    </w:p>
    <w:p w14:paraId="35FE9AA6">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14:paraId="0E42E6E1">
      <w:pPr>
        <w:adjustRightInd w:val="0"/>
        <w:snapToGrid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甲方：</w:t>
      </w:r>
    </w:p>
    <w:p w14:paraId="0AFD8E93">
      <w:pPr>
        <w:adjustRightInd w:val="0"/>
        <w:snapToGrid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乙方： </w:t>
      </w:r>
    </w:p>
    <w:p w14:paraId="3A8F6010">
      <w:pPr>
        <w:adjustRightInd w:val="0"/>
        <w:snapToGrid w:val="0"/>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由</w:t>
      </w:r>
      <w:r>
        <w:rPr>
          <w:rFonts w:hint="eastAsia" w:ascii="仿宋_GB2312" w:hAnsi="仿宋_GB2312" w:eastAsia="仿宋_GB2312" w:cs="仿宋_GB2312"/>
          <w:color w:val="000000" w:themeColor="text1"/>
          <w:sz w:val="28"/>
          <w:szCs w:val="28"/>
          <w:lang w:eastAsia="zh-CN"/>
          <w14:textFill>
            <w14:solidFill>
              <w14:schemeClr w14:val="tx1"/>
            </w14:solidFill>
          </w14:textFill>
        </w:rPr>
        <w:t>衡正国际工程咨询有限公司</w:t>
      </w:r>
      <w:r>
        <w:rPr>
          <w:rFonts w:hint="eastAsia" w:ascii="仿宋_GB2312" w:hAnsi="仿宋_GB2312" w:eastAsia="仿宋_GB2312" w:cs="仿宋_GB2312"/>
          <w:color w:val="000000" w:themeColor="text1"/>
          <w:sz w:val="28"/>
          <w:szCs w:val="28"/>
          <w14:textFill>
            <w14:solidFill>
              <w14:schemeClr w14:val="tx1"/>
            </w14:solidFill>
          </w14:textFill>
        </w:rPr>
        <w:t>组织竞争性磋商，</w:t>
      </w:r>
      <w:r>
        <w:rPr>
          <w:rFonts w:hint="eastAsia" w:ascii="仿宋_GB2312" w:hAnsi="仿宋_GB2312" w:eastAsia="仿宋_GB2312" w:cs="仿宋_GB2312"/>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(以下简称“甲方”)确定</w:t>
      </w:r>
      <w:r>
        <w:rPr>
          <w:rFonts w:hint="eastAsia" w:ascii="仿宋_GB2312" w:hAnsi="仿宋_GB2312" w:eastAsia="仿宋_GB2312" w:cs="仿宋_GB2312"/>
          <w:color w:val="000000" w:themeColor="text1"/>
          <w:sz w:val="28"/>
          <w:szCs w:val="28"/>
          <w:u w:val="single"/>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 xml:space="preserve"> （以下简称“乙方”）为成交供应商。</w:t>
      </w:r>
    </w:p>
    <w:p w14:paraId="29218E1F">
      <w:pPr>
        <w:autoSpaceDE w:val="0"/>
        <w:autoSpaceDN w:val="0"/>
        <w:adjustRightInd w:val="0"/>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依据《中华人民共和国民法典》和《中华人民共和国政府采购法》</w:t>
      </w:r>
      <w:r>
        <w:rPr>
          <w:rFonts w:hint="eastAsia" w:ascii="仿宋_GB2312" w:eastAsia="仿宋_GB2312"/>
          <w:color w:val="000000" w:themeColor="text1"/>
          <w:sz w:val="28"/>
          <w:szCs w:val="28"/>
          <w14:textFill>
            <w14:solidFill>
              <w14:schemeClr w14:val="tx1"/>
            </w14:solidFill>
          </w14:textFill>
        </w:rPr>
        <w:t>之规定</w:t>
      </w:r>
      <w:r>
        <w:rPr>
          <w:rFonts w:hint="eastAsia" w:ascii="仿宋_GB2312" w:eastAsia="仿宋_GB2312"/>
          <w:bCs/>
          <w:color w:val="000000" w:themeColor="text1"/>
          <w:sz w:val="28"/>
          <w:szCs w:val="28"/>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经双方在平等、自愿、互利的基础上，签订本合同，共同信守。</w:t>
      </w:r>
    </w:p>
    <w:p w14:paraId="72A60D59">
      <w:pPr>
        <w:autoSpaceDE w:val="0"/>
        <w:autoSpaceDN w:val="0"/>
        <w:adjustRightInd w:val="0"/>
        <w:spacing w:line="360" w:lineRule="auto"/>
        <w:ind w:firstLine="562" w:firstLineChars="200"/>
        <w:rPr>
          <w:rFonts w:hint="eastAsia"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一、合同价款</w:t>
      </w:r>
    </w:p>
    <w:p w14:paraId="5C3DBC8F">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（一）合同价款为人民币（大写）</w:t>
      </w:r>
      <w:r>
        <w:rPr>
          <w:rFonts w:hint="eastAsia" w:ascii="仿宋_GB2312" w:hAnsi="仿宋" w:eastAsia="仿宋_GB2312"/>
          <w:bCs/>
          <w:color w:val="000000" w:themeColor="text1"/>
          <w:sz w:val="28"/>
          <w:szCs w:val="28"/>
          <w:u w:val="single"/>
          <w14:textFill>
            <w14:solidFill>
              <w14:schemeClr w14:val="tx1"/>
            </w14:solidFill>
          </w14:textFill>
        </w:rPr>
        <w:t xml:space="preserve">        </w:t>
      </w:r>
      <w:r>
        <w:rPr>
          <w:rFonts w:hint="eastAsia" w:ascii="仿宋_GB2312" w:hAnsi="仿宋" w:eastAsia="仿宋_GB2312"/>
          <w:bCs/>
          <w:color w:val="000000" w:themeColor="text1"/>
          <w:sz w:val="28"/>
          <w:szCs w:val="28"/>
          <w14:textFill>
            <w14:solidFill>
              <w14:schemeClr w14:val="tx1"/>
            </w14:solidFill>
          </w14:textFill>
        </w:rPr>
        <w:t>（￥</w:t>
      </w:r>
      <w:r>
        <w:rPr>
          <w:rFonts w:hint="eastAsia" w:ascii="仿宋_GB2312" w:hAnsi="仿宋" w:eastAsia="仿宋_GB2312"/>
          <w:bCs/>
          <w:color w:val="000000" w:themeColor="text1"/>
          <w:sz w:val="28"/>
          <w:szCs w:val="28"/>
          <w:u w:val="single"/>
          <w14:textFill>
            <w14:solidFill>
              <w14:schemeClr w14:val="tx1"/>
            </w14:solidFill>
          </w14:textFill>
        </w:rPr>
        <w:t xml:space="preserve">      </w:t>
      </w:r>
      <w:r>
        <w:rPr>
          <w:rFonts w:hint="eastAsia" w:ascii="仿宋_GB2312" w:hAnsi="仿宋" w:eastAsia="仿宋_GB2312"/>
          <w:bCs/>
          <w:color w:val="000000" w:themeColor="text1"/>
          <w:sz w:val="28"/>
          <w:szCs w:val="28"/>
          <w14:textFill>
            <w14:solidFill>
              <w14:schemeClr w14:val="tx1"/>
            </w14:solidFill>
          </w14:textFill>
        </w:rPr>
        <w:t>）。</w:t>
      </w:r>
    </w:p>
    <w:p w14:paraId="4F680E33">
      <w:pPr>
        <w:autoSpaceDE w:val="0"/>
        <w:autoSpaceDN w:val="0"/>
        <w:adjustRightInd w:val="0"/>
        <w:spacing w:line="360" w:lineRule="auto"/>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（二）合同价款包括但不限于项目调研费、专家咨询费、人工费、材料费、交通费、住宿费、管理费、税金等一切相关费用</w:t>
      </w:r>
      <w:r>
        <w:rPr>
          <w:rFonts w:hint="eastAsia" w:ascii="仿宋_GB2312" w:hAnsi="宋体" w:eastAsia="仿宋_GB2312" w:cs="宋体"/>
          <w:bCs/>
          <w:color w:val="000000" w:themeColor="text1"/>
          <w:sz w:val="28"/>
          <w:szCs w:val="28"/>
          <w14:textFill>
            <w14:solidFill>
              <w14:schemeClr w14:val="tx1"/>
            </w14:solidFill>
          </w14:textFill>
        </w:rPr>
        <w:t>。</w:t>
      </w:r>
    </w:p>
    <w:p w14:paraId="165978D6">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（三）合同</w:t>
      </w:r>
      <w:r>
        <w:rPr>
          <w:rFonts w:hint="eastAsia" w:ascii="仿宋_GB2312" w:hAnsi="仿宋" w:eastAsia="仿宋_GB2312"/>
          <w:bCs/>
          <w:color w:val="000000" w:themeColor="text1"/>
          <w:sz w:val="28"/>
          <w:szCs w:val="28"/>
          <w:lang w:val="en-US" w:eastAsia="zh-CN"/>
          <w14:textFill>
            <w14:solidFill>
              <w14:schemeClr w14:val="tx1"/>
            </w14:solidFill>
          </w14:textFill>
        </w:rPr>
        <w:t>价款</w:t>
      </w:r>
      <w:r>
        <w:rPr>
          <w:rFonts w:hint="eastAsia" w:ascii="仿宋_GB2312" w:hAnsi="仿宋" w:eastAsia="仿宋_GB2312"/>
          <w:bCs/>
          <w:color w:val="000000" w:themeColor="text1"/>
          <w:sz w:val="28"/>
          <w:szCs w:val="28"/>
          <w14:textFill>
            <w14:solidFill>
              <w14:schemeClr w14:val="tx1"/>
            </w14:solidFill>
          </w14:textFill>
        </w:rPr>
        <w:t>一次性包死，不受市场价格变化因素的影响。</w:t>
      </w:r>
    </w:p>
    <w:p w14:paraId="73990AB5">
      <w:pPr>
        <w:autoSpaceDE w:val="0"/>
        <w:autoSpaceDN w:val="0"/>
        <w:adjustRightInd w:val="0"/>
        <w:spacing w:line="360" w:lineRule="auto"/>
        <w:ind w:firstLine="562" w:firstLineChars="200"/>
        <w:rPr>
          <w:rFonts w:hint="eastAsia"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二、款项结算</w:t>
      </w:r>
    </w:p>
    <w:p w14:paraId="2A942BDF">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highlight w:val="none"/>
          <w:u w:val="single"/>
          <w:lang w:val="en-US" w:eastAsia="zh-CN"/>
          <w14:textFill>
            <w14:solidFill>
              <w14:schemeClr w14:val="tx1"/>
            </w14:solidFill>
          </w14:textFill>
        </w:rPr>
      </w:pPr>
      <w:r>
        <w:rPr>
          <w:rFonts w:hint="eastAsia" w:ascii="仿宋_GB2312" w:hAnsi="仿宋" w:eastAsia="仿宋_GB2312"/>
          <w:bCs/>
          <w:color w:val="000000" w:themeColor="text1"/>
          <w:sz w:val="28"/>
          <w:szCs w:val="28"/>
          <w:highlight w:val="none"/>
          <w14:textFill>
            <w14:solidFill>
              <w14:schemeClr w14:val="tx1"/>
            </w14:solidFill>
          </w14:textFill>
        </w:rPr>
        <w:t>（一）合同价款的支付：</w:t>
      </w:r>
      <w:r>
        <w:rPr>
          <w:rFonts w:hint="eastAsia" w:ascii="仿宋_GB2312" w:hAnsi="仿宋" w:eastAsia="仿宋_GB2312"/>
          <w:bCs/>
          <w:color w:val="000000" w:themeColor="text1"/>
          <w:sz w:val="28"/>
          <w:szCs w:val="28"/>
          <w:highlight w:val="none"/>
          <w:u w:val="single"/>
          <w:lang w:val="en-US" w:eastAsia="zh-CN"/>
          <w14:textFill>
            <w14:solidFill>
              <w14:schemeClr w14:val="tx1"/>
            </w14:solidFill>
          </w14:textFill>
        </w:rPr>
        <w:t xml:space="preserve">                            </w:t>
      </w:r>
    </w:p>
    <w:p w14:paraId="76115592">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highlight w:val="none"/>
          <w14:textFill>
            <w14:solidFill>
              <w14:schemeClr w14:val="tx1"/>
            </w14:solidFill>
          </w14:textFill>
        </w:rPr>
      </w:pPr>
      <w:r>
        <w:rPr>
          <w:rFonts w:hint="eastAsia" w:ascii="仿宋_GB2312" w:hAnsi="仿宋" w:eastAsia="仿宋_GB2312"/>
          <w:bCs/>
          <w:color w:val="000000" w:themeColor="text1"/>
          <w:sz w:val="28"/>
          <w:szCs w:val="28"/>
          <w:highlight w:val="none"/>
          <w14:textFill>
            <w14:solidFill>
              <w14:schemeClr w14:val="tx1"/>
            </w14:solidFill>
          </w14:textFill>
        </w:rPr>
        <w:t>（二）结算方式：银行转账。</w:t>
      </w:r>
    </w:p>
    <w:p w14:paraId="1BBD7DD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color w:val="000000" w:themeColor="text1"/>
          <w:sz w:val="28"/>
          <w:szCs w:val="28"/>
          <w:highlight w:val="none"/>
          <w14:textFill>
            <w14:solidFill>
              <w14:schemeClr w14:val="tx1"/>
            </w14:solidFill>
          </w14:textFill>
        </w:rPr>
      </w:pPr>
      <w:r>
        <w:rPr>
          <w:rFonts w:hint="eastAsia" w:ascii="仿宋_GB2312" w:hAnsi="仿宋" w:eastAsia="仿宋_GB2312"/>
          <w:bCs/>
          <w:color w:val="000000" w:themeColor="text1"/>
          <w:sz w:val="28"/>
          <w:szCs w:val="28"/>
          <w:highlight w:val="none"/>
          <w14:textFill>
            <w14:solidFill>
              <w14:schemeClr w14:val="tx1"/>
            </w14:solidFill>
          </w14:textFill>
        </w:rPr>
        <w:t>（三）货款支付方式：</w:t>
      </w:r>
      <w:r>
        <w:rPr>
          <w:rFonts w:hint="eastAsia" w:ascii="仿宋_GB2312" w:eastAsia="仿宋_GB2312"/>
          <w:color w:val="000000" w:themeColor="text1"/>
          <w:sz w:val="28"/>
          <w:szCs w:val="28"/>
          <w:highlight w:val="none"/>
          <w:lang w:val="zh-CN"/>
          <w14:textFill>
            <w14:solidFill>
              <w14:schemeClr w14:val="tx1"/>
            </w14:solidFill>
          </w14:textFill>
        </w:rPr>
        <w:t>由</w:t>
      </w:r>
      <w:r>
        <w:rPr>
          <w:rFonts w:hint="eastAsia" w:ascii="仿宋_GB2312" w:eastAsia="仿宋_GB2312"/>
          <w:color w:val="000000" w:themeColor="text1"/>
          <w:sz w:val="28"/>
          <w:szCs w:val="28"/>
          <w:highlight w:val="none"/>
          <w14:textFill>
            <w14:solidFill>
              <w14:schemeClr w14:val="tx1"/>
            </w14:solidFill>
          </w14:textFill>
        </w:rPr>
        <w:t>甲方</w:t>
      </w:r>
      <w:r>
        <w:rPr>
          <w:rFonts w:hint="eastAsia" w:ascii="仿宋_GB2312" w:eastAsia="仿宋_GB2312"/>
          <w:color w:val="000000" w:themeColor="text1"/>
          <w:sz w:val="28"/>
          <w:szCs w:val="28"/>
          <w:highlight w:val="none"/>
          <w:lang w:val="zh-CN"/>
          <w14:textFill>
            <w14:solidFill>
              <w14:schemeClr w14:val="tx1"/>
            </w14:solidFill>
          </w14:textFill>
        </w:rPr>
        <w:t>负责结算，合同签订后，</w:t>
      </w:r>
      <w:r>
        <w:rPr>
          <w:rFonts w:hint="eastAsia" w:ascii="仿宋_GB2312" w:hAnsi="宋体" w:eastAsia="仿宋_GB2312"/>
          <w:color w:val="000000" w:themeColor="text1"/>
          <w:sz w:val="28"/>
          <w:szCs w:val="28"/>
          <w:highlight w:val="none"/>
          <w:lang w:val="zh-CN"/>
          <w14:textFill>
            <w14:solidFill>
              <w14:schemeClr w14:val="tx1"/>
            </w14:solidFill>
          </w14:textFill>
        </w:rPr>
        <w:t>乙方在接受付款前，开具</w:t>
      </w:r>
      <w:r>
        <w:rPr>
          <w:rFonts w:hint="eastAsia" w:ascii="仿宋_GB2312" w:hAnsi="宋体" w:eastAsia="仿宋_GB2312"/>
          <w:color w:val="000000" w:themeColor="text1"/>
          <w:sz w:val="28"/>
          <w:szCs w:val="28"/>
          <w:highlight w:val="none"/>
          <w:lang w:val="en-US" w:eastAsia="zh-CN"/>
          <w14:textFill>
            <w14:solidFill>
              <w14:schemeClr w14:val="tx1"/>
            </w14:solidFill>
          </w14:textFill>
        </w:rPr>
        <w:t>等额</w:t>
      </w:r>
      <w:r>
        <w:rPr>
          <w:rFonts w:hint="eastAsia" w:ascii="仿宋_GB2312" w:hAnsi="宋体" w:eastAsia="仿宋_GB2312"/>
          <w:color w:val="000000" w:themeColor="text1"/>
          <w:sz w:val="28"/>
          <w:szCs w:val="28"/>
          <w:highlight w:val="none"/>
          <w:lang w:val="zh-CN"/>
          <w14:textFill>
            <w14:solidFill>
              <w14:schemeClr w14:val="tx1"/>
            </w14:solidFill>
          </w14:textFill>
        </w:rPr>
        <w:t>发票给甲方。</w:t>
      </w:r>
    </w:p>
    <w:p w14:paraId="4AD42D9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 w:eastAsia="仿宋_GB2312"/>
          <w:b/>
          <w:bCs/>
          <w:color w:val="000000" w:themeColor="text1"/>
          <w:sz w:val="28"/>
          <w:szCs w:val="28"/>
          <w:highlight w:val="none"/>
          <w:lang w:val="en-US" w:eastAsia="zh-CN"/>
          <w14:textFill>
            <w14:solidFill>
              <w14:schemeClr w14:val="tx1"/>
            </w14:solidFill>
          </w14:textFill>
        </w:rPr>
      </w:pPr>
      <w:r>
        <w:rPr>
          <w:rFonts w:hint="eastAsia" w:ascii="仿宋_GB2312" w:hAnsi="仿宋" w:eastAsia="仿宋_GB2312"/>
          <w:b/>
          <w:bCs/>
          <w:color w:val="000000" w:themeColor="text1"/>
          <w:sz w:val="28"/>
          <w:szCs w:val="28"/>
          <w:highlight w:val="none"/>
          <w14:textFill>
            <w14:solidFill>
              <w14:schemeClr w14:val="tx1"/>
            </w14:solidFill>
          </w14:textFill>
        </w:rPr>
        <w:t>三、服务地点及</w:t>
      </w:r>
      <w:r>
        <w:rPr>
          <w:rFonts w:hint="eastAsia" w:ascii="仿宋_GB2312" w:hAnsi="仿宋" w:eastAsia="仿宋_GB2312" w:cs="Times New Roman"/>
          <w:b/>
          <w:bCs/>
          <w:color w:val="000000" w:themeColor="text1"/>
          <w:sz w:val="28"/>
          <w:szCs w:val="28"/>
          <w:highlight w:val="none"/>
          <w:lang w:val="en-US" w:eastAsia="zh-CN"/>
          <w14:textFill>
            <w14:solidFill>
              <w14:schemeClr w14:val="tx1"/>
            </w14:solidFill>
          </w14:textFill>
        </w:rPr>
        <w:t>服务</w:t>
      </w:r>
      <w:r>
        <w:rPr>
          <w:rFonts w:hint="eastAsia" w:ascii="仿宋_GB2312" w:hAnsi="仿宋" w:eastAsia="仿宋_GB2312"/>
          <w:b/>
          <w:bCs/>
          <w:color w:val="000000" w:themeColor="text1"/>
          <w:sz w:val="28"/>
          <w:szCs w:val="28"/>
          <w:highlight w:val="none"/>
          <w:lang w:val="en-US" w:eastAsia="zh-CN"/>
          <w14:textFill>
            <w14:solidFill>
              <w14:schemeClr w14:val="tx1"/>
            </w14:solidFill>
          </w14:textFill>
        </w:rPr>
        <w:t>期</w:t>
      </w:r>
    </w:p>
    <w:p w14:paraId="12B264A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color w:val="000000" w:themeColor="text1"/>
          <w:sz w:val="28"/>
          <w:szCs w:val="28"/>
          <w:highlight w:val="none"/>
          <w14:textFill>
            <w14:solidFill>
              <w14:schemeClr w14:val="tx1"/>
            </w14:solidFill>
          </w14:textFill>
        </w:rPr>
      </w:pPr>
      <w:r>
        <w:rPr>
          <w:rFonts w:hint="eastAsia" w:ascii="仿宋_GB2312" w:hAnsi="仿宋" w:eastAsia="仿宋_GB2312"/>
          <w:bCs/>
          <w:color w:val="000000" w:themeColor="text1"/>
          <w:sz w:val="28"/>
          <w:szCs w:val="28"/>
          <w:highlight w:val="none"/>
          <w14:textFill>
            <w14:solidFill>
              <w14:schemeClr w14:val="tx1"/>
            </w14:solidFill>
          </w14:textFill>
        </w:rPr>
        <w:t>（一）服务地点：甲方指定地点。</w:t>
      </w:r>
    </w:p>
    <w:p w14:paraId="264FE29F">
      <w:pPr>
        <w:keepNext w:val="0"/>
        <w:keepLines w:val="0"/>
        <w:pageBreakBefore w:val="0"/>
        <w:widowControl w:val="0"/>
        <w:kinsoku/>
        <w:wordWrap/>
        <w:overflowPunct/>
        <w:topLinePunct w:val="0"/>
        <w:bidi w:val="0"/>
        <w:adjustRightInd w:val="0"/>
        <w:snapToGrid w:val="0"/>
        <w:spacing w:after="0" w:line="360" w:lineRule="auto"/>
        <w:ind w:firstLine="560" w:firstLineChars="200"/>
        <w:textAlignment w:val="auto"/>
        <w:rPr>
          <w:rFonts w:hint="default" w:ascii="仿宋_GB2312" w:hAnsi="仿宋" w:eastAsia="仿宋_GB2312"/>
          <w:bCs/>
          <w:color w:val="000000" w:themeColor="text1"/>
          <w:sz w:val="28"/>
          <w:szCs w:val="28"/>
          <w:highlight w:val="none"/>
          <w:lang w:val="en-US" w:eastAsia="zh-CN"/>
          <w14:textFill>
            <w14:solidFill>
              <w14:schemeClr w14:val="tx1"/>
            </w14:solidFill>
          </w14:textFill>
        </w:rPr>
      </w:pPr>
      <w:r>
        <w:rPr>
          <w:rFonts w:hint="eastAsia" w:ascii="仿宋_GB2312" w:hAnsi="仿宋" w:eastAsia="仿宋_GB2312"/>
          <w:bCs/>
          <w:color w:val="000000" w:themeColor="text1"/>
          <w:sz w:val="28"/>
          <w:szCs w:val="28"/>
          <w:highlight w:val="none"/>
          <w14:textFill>
            <w14:solidFill>
              <w14:schemeClr w14:val="tx1"/>
            </w14:solidFill>
          </w14:textFill>
        </w:rPr>
        <w:t>（二）</w:t>
      </w:r>
      <w:r>
        <w:rPr>
          <w:rFonts w:hint="eastAsia" w:ascii="仿宋_GB2312" w:hAnsi="仿宋" w:eastAsia="仿宋_GB2312"/>
          <w:bCs/>
          <w:color w:val="000000" w:themeColor="text1"/>
          <w:sz w:val="28"/>
          <w:szCs w:val="28"/>
          <w:highlight w:val="none"/>
          <w:lang w:eastAsia="zh-CN"/>
          <w14:textFill>
            <w14:solidFill>
              <w14:schemeClr w14:val="tx1"/>
            </w14:solidFill>
          </w14:textFill>
        </w:rPr>
        <w:t>服务</w:t>
      </w:r>
      <w:r>
        <w:rPr>
          <w:rFonts w:hint="eastAsia" w:ascii="仿宋_GB2312" w:hAnsi="仿宋" w:eastAsia="仿宋_GB2312"/>
          <w:bCs/>
          <w:color w:val="000000" w:themeColor="text1"/>
          <w:sz w:val="28"/>
          <w:szCs w:val="28"/>
          <w:highlight w:val="none"/>
          <w14:textFill>
            <w14:solidFill>
              <w14:schemeClr w14:val="tx1"/>
            </w14:solidFill>
          </w14:textFill>
        </w:rPr>
        <w:t>期：</w:t>
      </w:r>
      <w:r>
        <w:rPr>
          <w:rFonts w:hint="eastAsia" w:ascii="仿宋_GB2312" w:hAnsi="宋体" w:eastAsia="仿宋_GB2312"/>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8"/>
          <w:szCs w:val="28"/>
          <w:highlight w:val="none"/>
          <w:lang w:val="en-US" w:eastAsia="zh-CN"/>
          <w14:textFill>
            <w14:solidFill>
              <w14:schemeClr w14:val="tx1"/>
            </w14:solidFill>
          </w14:textFill>
        </w:rPr>
        <w:t>。</w:t>
      </w:r>
    </w:p>
    <w:p w14:paraId="3B28FFF0">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ascii="仿宋_GB2312" w:eastAsia="仿宋_GB2312"/>
          <w:b/>
          <w:color w:val="000000" w:themeColor="text1"/>
          <w:sz w:val="28"/>
          <w:szCs w:val="28"/>
          <w:highlight w:val="none"/>
          <w14:textFill>
            <w14:solidFill>
              <w14:schemeClr w14:val="tx1"/>
            </w14:solidFill>
          </w14:textFill>
        </w:rPr>
      </w:pPr>
      <w:r>
        <w:rPr>
          <w:rFonts w:hint="eastAsia" w:ascii="仿宋_GB2312" w:eastAsia="仿宋_GB2312"/>
          <w:b/>
          <w:color w:val="000000" w:themeColor="text1"/>
          <w:sz w:val="28"/>
          <w:szCs w:val="28"/>
          <w:highlight w:val="none"/>
          <w14:textFill>
            <w14:solidFill>
              <w14:schemeClr w14:val="tx1"/>
            </w14:solidFill>
          </w14:textFill>
        </w:rPr>
        <w:t>四、甲方的权利及义务</w:t>
      </w:r>
      <w:bookmarkStart w:id="0" w:name="_GoBack"/>
      <w:bookmarkEnd w:id="0"/>
    </w:p>
    <w:p w14:paraId="01C4A9F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（一）甲方的权利</w:t>
      </w:r>
    </w:p>
    <w:p w14:paraId="0A3BCE33">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1</w:t>
      </w:r>
      <w:r>
        <w:rPr>
          <w:rFonts w:hint="eastAsia" w:ascii="仿宋_GB2312" w:eastAsia="仿宋_GB2312"/>
          <w:color w:val="000000" w:themeColor="text1"/>
          <w:sz w:val="28"/>
          <w:szCs w:val="28"/>
          <w:highlight w:val="none"/>
          <w14:textFill>
            <w14:solidFill>
              <w14:schemeClr w14:val="tx1"/>
            </w14:solidFill>
          </w14:textFill>
        </w:rPr>
        <w:t>．甲方有权向乙方询问工作进展情况及相关的内容。</w:t>
      </w:r>
    </w:p>
    <w:p w14:paraId="38303419">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2</w:t>
      </w:r>
      <w:r>
        <w:rPr>
          <w:rFonts w:hint="eastAsia" w:ascii="仿宋_GB2312" w:eastAsia="仿宋_GB2312"/>
          <w:color w:val="000000" w:themeColor="text1"/>
          <w:sz w:val="28"/>
          <w:szCs w:val="28"/>
          <w:highlight w:val="none"/>
          <w14:textFill>
            <w14:solidFill>
              <w14:schemeClr w14:val="tx1"/>
            </w14:solidFill>
          </w14:textFill>
        </w:rPr>
        <w:t>．甲方有权阐述对具体问题的意见和建议。</w:t>
      </w:r>
    </w:p>
    <w:p w14:paraId="0A8DA4F5">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 xml:space="preserve">3. </w:t>
      </w:r>
      <w:r>
        <w:rPr>
          <w:rFonts w:hint="eastAsia" w:ascii="仿宋_GB2312" w:eastAsia="仿宋_GB2312"/>
          <w:color w:val="000000" w:themeColor="text1"/>
          <w:sz w:val="28"/>
          <w:szCs w:val="28"/>
          <w:highlight w:val="none"/>
          <w14:textFill>
            <w14:solidFill>
              <w14:schemeClr w14:val="tx1"/>
            </w14:solidFill>
          </w14:textFill>
        </w:rPr>
        <w:t>甲方有权根据项目的具体情况，要求乙方按期到项目现场解决争议。</w:t>
      </w:r>
    </w:p>
    <w:p w14:paraId="5EBC501F">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4</w:t>
      </w:r>
      <w:r>
        <w:rPr>
          <w:rFonts w:hint="eastAsia" w:ascii="仿宋_GB2312" w:eastAsia="仿宋_GB2312"/>
          <w:color w:val="000000" w:themeColor="text1"/>
          <w:sz w:val="28"/>
          <w:szCs w:val="28"/>
          <w:highlight w:val="none"/>
          <w14:textFill>
            <w14:solidFill>
              <w14:schemeClr w14:val="tx1"/>
            </w14:solidFill>
          </w14:textFill>
        </w:rPr>
        <w:t>．当甲方认定编制专业人员不按合同履行其职责，或与第三人串通给甲方造成经济损失的，甲方有权要求更换编制专业人员，直至终止合同并要求乙方承担相应的赔偿责任。</w:t>
      </w:r>
    </w:p>
    <w:p w14:paraId="4F7AA9E9">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（二）甲方的义务</w:t>
      </w:r>
    </w:p>
    <w:p w14:paraId="4535B9C9">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1</w:t>
      </w:r>
      <w:r>
        <w:rPr>
          <w:rFonts w:hint="eastAsia" w:ascii="仿宋_GB2312" w:eastAsia="仿宋_GB2312"/>
          <w:color w:val="000000" w:themeColor="text1"/>
          <w:sz w:val="28"/>
          <w:szCs w:val="28"/>
          <w:highlight w:val="none"/>
          <w14:textFill>
            <w14:solidFill>
              <w14:schemeClr w14:val="tx1"/>
            </w14:solidFill>
          </w14:textFill>
        </w:rPr>
        <w:t>．甲方应负责与本编制项目有关的第三人的协调，为乙方工作提供外部条件。</w:t>
      </w:r>
    </w:p>
    <w:p w14:paraId="59E0FCFA">
      <w:pPr>
        <w:spacing w:line="360" w:lineRule="auto"/>
        <w:ind w:firstLine="560" w:firstLineChars="200"/>
        <w:rPr>
          <w:rFonts w:ascii="仿宋_GB2312" w:eastAsia="仿宋_GB2312"/>
          <w:color w:val="000000" w:themeColor="text1"/>
          <w:sz w:val="28"/>
          <w:szCs w:val="28"/>
          <w:highlight w:val="none"/>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2</w:t>
      </w:r>
      <w:r>
        <w:rPr>
          <w:rFonts w:hint="eastAsia" w:ascii="仿宋_GB2312" w:eastAsia="仿宋_GB2312"/>
          <w:color w:val="000000" w:themeColor="text1"/>
          <w:sz w:val="28"/>
          <w:szCs w:val="28"/>
          <w:highlight w:val="none"/>
          <w14:textFill>
            <w14:solidFill>
              <w14:schemeClr w14:val="tx1"/>
            </w14:solidFill>
          </w14:textFill>
        </w:rPr>
        <w:t>．甲方应当在约定的时间内，向乙方提供与本项目编制有关的资料。</w:t>
      </w:r>
    </w:p>
    <w:p w14:paraId="05B33ECB">
      <w:pPr>
        <w:spacing w:line="360" w:lineRule="auto"/>
        <w:ind w:firstLine="560" w:firstLineChars="200"/>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highlight w:val="none"/>
          <w14:textFill>
            <w14:solidFill>
              <w14:schemeClr w14:val="tx1"/>
            </w14:solidFill>
          </w14:textFill>
        </w:rPr>
        <w:t>3</w:t>
      </w:r>
      <w:r>
        <w:rPr>
          <w:rFonts w:hint="eastAsia" w:ascii="仿宋_GB2312" w:eastAsia="仿宋_GB2312"/>
          <w:color w:val="000000" w:themeColor="text1"/>
          <w:sz w:val="28"/>
          <w:szCs w:val="28"/>
          <w:highlight w:val="none"/>
          <w14:textFill>
            <w14:solidFill>
              <w14:schemeClr w14:val="tx1"/>
            </w14:solidFill>
          </w14:textFill>
        </w:rPr>
        <w:t>．甲方应当在约定的时间内就乙方书面提交并要求做出答</w:t>
      </w:r>
      <w:r>
        <w:rPr>
          <w:rFonts w:hint="eastAsia" w:ascii="仿宋_GB2312" w:eastAsia="仿宋_GB2312"/>
          <w:color w:val="000000" w:themeColor="text1"/>
          <w:sz w:val="28"/>
          <w:szCs w:val="28"/>
          <w14:textFill>
            <w14:solidFill>
              <w14:schemeClr w14:val="tx1"/>
            </w14:solidFill>
          </w14:textFill>
        </w:rPr>
        <w:t>复的事宜做出书面答复。乙方要求第三人提供有关资料时，甲方应负责转达及收集整理相关资料。</w:t>
      </w:r>
    </w:p>
    <w:p w14:paraId="7F1FA217">
      <w:pPr>
        <w:spacing w:line="360" w:lineRule="auto"/>
        <w:ind w:firstLine="560" w:firstLineChars="200"/>
        <w:rPr>
          <w:rFonts w:hint="eastAsia"/>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．甲方应当授权胜任本编制项目的代表，负责与乙方联系。</w:t>
      </w:r>
    </w:p>
    <w:p w14:paraId="02BD6373">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五、乙方的权利及义务</w:t>
      </w:r>
    </w:p>
    <w:p w14:paraId="0548578E">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（一）乙方的权利</w:t>
      </w:r>
    </w:p>
    <w:p w14:paraId="2A7C71C3">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1.乙方在编制过程中，如甲方提供的资料不明确时可向甲方提出书面报告。</w:t>
      </w:r>
    </w:p>
    <w:p w14:paraId="5680DB84">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2．乙方在编制过程中，有权对第三人提出与本编制业务有关的问题进行核对或查问。</w:t>
      </w:r>
    </w:p>
    <w:p w14:paraId="5CD01402">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3．乙方在编制过程中，有到项目现场勘察的权利。</w:t>
      </w:r>
    </w:p>
    <w:p w14:paraId="270A4921">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（二）乙方的义务</w:t>
      </w:r>
    </w:p>
    <w:p w14:paraId="06A596AC">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1．向甲方提供与本项目有关的资料，包括编制项目人员的资质证书及承担本业务的专业人员名单、编制工作计划等，并按合同专用条件中约定的范围实施业务。</w:t>
      </w:r>
    </w:p>
    <w:p w14:paraId="51EA4A83">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2．乙方在履行本合同期间，向甲方提供报告编制等服务。</w:t>
      </w:r>
    </w:p>
    <w:p w14:paraId="4B51DB5D">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3．在履行合同期间或合同规定期限内，不得泄露与本合同规定业务活动有关的保密资料。</w:t>
      </w:r>
    </w:p>
    <w:p w14:paraId="2B38E20C">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4．在项目评审期间，乙方应按照甲方的要求保证及时到项目现场。同时，针对项目出现较大争议的情况，乙方能有效提出解决争议的方案，获得相关相助主管部门批复通过。</w:t>
      </w:r>
    </w:p>
    <w:p w14:paraId="1131C0BC">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六、服务保证</w:t>
      </w:r>
    </w:p>
    <w:p w14:paraId="0FFAED58">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（一）所供的成果报告必须保证是符合国家相关程序相关规定。</w:t>
      </w:r>
    </w:p>
    <w:p w14:paraId="37AB9C49">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（二）乙方提供相关成果报告确保真实性、可靠性。</w:t>
      </w:r>
    </w:p>
    <w:p w14:paraId="4B53FEE7">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七、知识产权</w:t>
      </w:r>
    </w:p>
    <w:p w14:paraId="3BDF1A10">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(一) 本次招标所涉及到的所有成果的知识产权归甲方所有。 </w:t>
      </w:r>
    </w:p>
    <w:p w14:paraId="6F06085B">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(二) 乙方无论出于任何目的如在其他地方使用该成果，必须经甲方同意方可使用。否则，甲方有权要求终止涉及到该中标知识产权的任何使用活动并保留追究卖方相应的法律责任的权利。 </w:t>
      </w:r>
    </w:p>
    <w:p w14:paraId="40CB5501">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(三)乙方为执行本合同而提供的技术资料使用权归甲方所有。</w:t>
      </w:r>
    </w:p>
    <w:p w14:paraId="70C829CD">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八、保密规定</w:t>
      </w:r>
    </w:p>
    <w:p w14:paraId="79354606">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1C2BFCE">
      <w:pPr>
        <w:autoSpaceDE w:val="0"/>
        <w:autoSpaceDN w:val="0"/>
        <w:adjustRightInd w:val="0"/>
        <w:snapToGrid w:val="0"/>
        <w:spacing w:line="360" w:lineRule="auto"/>
        <w:ind w:firstLine="562" w:firstLineChars="200"/>
        <w:rPr>
          <w:rFonts w:hint="eastAsia" w:ascii="仿宋_GB2312" w:hAnsi="仿宋" w:eastAsia="仿宋_GB2312"/>
          <w:b/>
          <w:bCs/>
          <w:color w:val="000000" w:themeColor="text1"/>
          <w:sz w:val="28"/>
          <w:szCs w:val="28"/>
          <w:lang w:val="en-US" w:eastAsia="zh-CN"/>
          <w14:textFill>
            <w14:solidFill>
              <w14:schemeClr w14:val="tx1"/>
            </w14:solidFill>
          </w14:textFill>
        </w:rPr>
      </w:pPr>
      <w:r>
        <w:rPr>
          <w:rFonts w:hint="eastAsia" w:ascii="仿宋_GB2312" w:hAnsi="仿宋" w:eastAsia="仿宋_GB2312"/>
          <w:b/>
          <w:bCs/>
          <w:color w:val="000000" w:themeColor="text1"/>
          <w:sz w:val="28"/>
          <w:szCs w:val="28"/>
          <w:lang w:val="en-US" w:eastAsia="zh-CN"/>
          <w14:textFill>
            <w14:solidFill>
              <w14:schemeClr w14:val="tx1"/>
            </w14:solidFill>
          </w14:textFill>
        </w:rPr>
        <w:t>九、验收</w:t>
      </w:r>
    </w:p>
    <w:p w14:paraId="4E4FFF4F">
      <w:pPr>
        <w:pStyle w:val="4"/>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（一）</w:t>
      </w: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本项目验收费用，由乙方自行承担。</w:t>
      </w:r>
    </w:p>
    <w:p w14:paraId="04A57203">
      <w:pPr>
        <w:pStyle w:val="4"/>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pP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w:t>
      </w:r>
      <w:r>
        <w:rPr>
          <w:rFonts w:hint="eastAsia" w:ascii="仿宋_GB2312" w:hAnsi="仿宋" w:eastAsia="仿宋_GB2312" w:cs="Times New Roman"/>
          <w:color w:val="000000" w:themeColor="text1"/>
          <w:kern w:val="2"/>
          <w:sz w:val="28"/>
          <w:szCs w:val="28"/>
          <w:lang w:val="en-US" w:eastAsia="zh-CN" w:bidi="ar-SA"/>
          <w14:textFill>
            <w14:solidFill>
              <w14:schemeClr w14:val="tx1"/>
            </w14:solidFill>
          </w14:textFill>
        </w:rPr>
        <w:t>二</w:t>
      </w: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）验收依据：</w:t>
      </w:r>
    </w:p>
    <w:p w14:paraId="2D01B86F">
      <w:pPr>
        <w:pStyle w:val="4"/>
        <w:ind w:firstLine="1120" w:firstLineChars="400"/>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pP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1.本合同及附加文本；</w:t>
      </w:r>
    </w:p>
    <w:p w14:paraId="5744AF1F">
      <w:pPr>
        <w:pStyle w:val="4"/>
        <w:ind w:firstLine="1120" w:firstLineChars="400"/>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pP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2.</w:t>
      </w:r>
      <w:r>
        <w:rPr>
          <w:rFonts w:hint="eastAsia" w:ascii="仿宋_GB2312" w:hAnsi="仿宋" w:eastAsia="仿宋_GB2312" w:cs="Times New Roman"/>
          <w:color w:val="000000" w:themeColor="text1"/>
          <w:kern w:val="2"/>
          <w:sz w:val="28"/>
          <w:szCs w:val="28"/>
          <w:lang w:val="en-US" w:eastAsia="zh-CN" w:bidi="ar-SA"/>
          <w14:textFill>
            <w14:solidFill>
              <w14:schemeClr w14:val="tx1"/>
            </w14:solidFill>
          </w14:textFill>
        </w:rPr>
        <w:t>磋商</w:t>
      </w: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文件、</w:t>
      </w:r>
      <w:r>
        <w:rPr>
          <w:rFonts w:hint="eastAsia" w:ascii="仿宋_GB2312" w:hAnsi="仿宋" w:eastAsia="仿宋_GB2312" w:cs="Times New Roman"/>
          <w:color w:val="000000" w:themeColor="text1"/>
          <w:kern w:val="2"/>
          <w:sz w:val="28"/>
          <w:szCs w:val="28"/>
          <w:lang w:val="en-US" w:eastAsia="zh-CN" w:bidi="ar-SA"/>
          <w14:textFill>
            <w14:solidFill>
              <w14:schemeClr w14:val="tx1"/>
            </w14:solidFill>
          </w14:textFill>
        </w:rPr>
        <w:t>成交供应商</w:t>
      </w: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的</w:t>
      </w:r>
      <w:r>
        <w:rPr>
          <w:rFonts w:hint="eastAsia" w:ascii="仿宋_GB2312" w:hAnsi="仿宋" w:eastAsia="仿宋_GB2312" w:cs="Times New Roman"/>
          <w:color w:val="000000" w:themeColor="text1"/>
          <w:kern w:val="2"/>
          <w:sz w:val="28"/>
          <w:szCs w:val="28"/>
          <w:lang w:val="en-US" w:eastAsia="zh-CN" w:bidi="ar-SA"/>
          <w14:textFill>
            <w14:solidFill>
              <w14:schemeClr w14:val="tx1"/>
            </w14:solidFill>
          </w14:textFill>
        </w:rPr>
        <w:t>响应</w:t>
      </w: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文件及澄清函；</w:t>
      </w:r>
    </w:p>
    <w:p w14:paraId="58EC2A4A">
      <w:pPr>
        <w:pStyle w:val="4"/>
        <w:ind w:firstLine="1120" w:firstLineChars="400"/>
        <w:rPr>
          <w:rFonts w:hint="eastAsia" w:ascii="仿宋_GB2312" w:eastAsia="仿宋_GB2312"/>
          <w:b/>
          <w:color w:val="000000" w:themeColor="text1"/>
          <w:sz w:val="28"/>
          <w:szCs w:val="28"/>
          <w14:textFill>
            <w14:solidFill>
              <w14:schemeClr w14:val="tx1"/>
            </w14:solidFill>
          </w14:textFill>
        </w:rPr>
      </w:pPr>
      <w:r>
        <w:rPr>
          <w:rFonts w:hint="default" w:ascii="仿宋_GB2312" w:hAnsi="仿宋" w:eastAsia="仿宋_GB2312" w:cs="Times New Roman"/>
          <w:color w:val="000000" w:themeColor="text1"/>
          <w:kern w:val="2"/>
          <w:sz w:val="28"/>
          <w:szCs w:val="28"/>
          <w:lang w:val="en-US" w:eastAsia="zh-CN" w:bidi="ar-SA"/>
          <w14:textFill>
            <w14:solidFill>
              <w14:schemeClr w14:val="tx1"/>
            </w14:solidFill>
          </w14:textFill>
        </w:rPr>
        <w:t>3.国家相应的标准、规范。</w:t>
      </w:r>
    </w:p>
    <w:p w14:paraId="6C637F59">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lang w:val="en-US" w:eastAsia="zh-CN"/>
          <w14:textFill>
            <w14:solidFill>
              <w14:schemeClr w14:val="tx1"/>
            </w14:solidFill>
          </w14:textFill>
        </w:rPr>
        <w:t>十</w:t>
      </w:r>
      <w:r>
        <w:rPr>
          <w:rFonts w:hint="eastAsia" w:ascii="仿宋_GB2312" w:eastAsia="仿宋_GB2312"/>
          <w:b/>
          <w:color w:val="000000" w:themeColor="text1"/>
          <w:sz w:val="28"/>
          <w:szCs w:val="28"/>
          <w14:textFill>
            <w14:solidFill>
              <w14:schemeClr w14:val="tx1"/>
            </w14:solidFill>
          </w14:textFill>
        </w:rPr>
        <w:t>、其它事项</w:t>
      </w:r>
    </w:p>
    <w:p w14:paraId="13943162">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（一）乙方不得将项目转让、分包给其它单位或个人。</w:t>
      </w:r>
    </w:p>
    <w:p w14:paraId="2B83422F">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（二）乙方的</w:t>
      </w:r>
      <w:r>
        <w:rPr>
          <w:rFonts w:hint="eastAsia" w:ascii="仿宋_GB2312" w:eastAsia="仿宋_GB2312"/>
          <w:color w:val="000000" w:themeColor="text1"/>
          <w:sz w:val="28"/>
          <w:szCs w:val="28"/>
          <w:lang w:val="en-US" w:eastAsia="zh-CN"/>
          <w14:textFill>
            <w14:solidFill>
              <w14:schemeClr w14:val="tx1"/>
            </w14:solidFill>
          </w14:textFill>
        </w:rPr>
        <w:t>磋商响应</w:t>
      </w:r>
      <w:r>
        <w:rPr>
          <w:rFonts w:hint="eastAsia" w:ascii="仿宋_GB2312" w:eastAsia="仿宋_GB2312"/>
          <w:color w:val="000000" w:themeColor="text1"/>
          <w:sz w:val="28"/>
          <w:szCs w:val="28"/>
          <w14:textFill>
            <w14:solidFill>
              <w14:schemeClr w14:val="tx1"/>
            </w14:solidFill>
          </w14:textFill>
        </w:rPr>
        <w:t>文件和承诺等内容将列入合同。</w:t>
      </w:r>
    </w:p>
    <w:p w14:paraId="1AD9BB2A">
      <w:pPr>
        <w:spacing w:line="360" w:lineRule="auto"/>
        <w:ind w:firstLine="562" w:firstLineChars="200"/>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十</w:t>
      </w:r>
      <w:r>
        <w:rPr>
          <w:rFonts w:hint="eastAsia" w:ascii="仿宋_GB2312" w:eastAsia="仿宋_GB2312"/>
          <w:b/>
          <w:color w:val="000000" w:themeColor="text1"/>
          <w:sz w:val="28"/>
          <w:szCs w:val="28"/>
          <w:lang w:val="en-US" w:eastAsia="zh-CN"/>
          <w14:textFill>
            <w14:solidFill>
              <w14:schemeClr w14:val="tx1"/>
            </w14:solidFill>
          </w14:textFill>
        </w:rPr>
        <w:t>一</w:t>
      </w:r>
      <w:r>
        <w:rPr>
          <w:rFonts w:hint="eastAsia" w:ascii="仿宋_GB2312" w:eastAsia="仿宋_GB2312"/>
          <w:b/>
          <w:color w:val="000000" w:themeColor="text1"/>
          <w:sz w:val="28"/>
          <w:szCs w:val="28"/>
          <w14:textFill>
            <w14:solidFill>
              <w14:schemeClr w14:val="tx1"/>
            </w14:solidFill>
          </w14:textFill>
        </w:rPr>
        <w:t>、违约责任</w:t>
      </w:r>
    </w:p>
    <w:p w14:paraId="7B2DD024">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（一）按《合同法》中的相关条款执行。</w:t>
      </w:r>
    </w:p>
    <w:p w14:paraId="2E1C9B85">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（二）除非法律、法规规定或本合同约定，任何一方不得擅自解除合同。擅自解除合同属违约行为。于此情形下，违约的一方应向对方支付本合同约定的编制工作报酬总额的20%作为违约金。</w:t>
      </w:r>
    </w:p>
    <w:p w14:paraId="6B30891E">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三）因乙方自身的原因未按本合同约定的期限提交报告初稿或正式文本，属于违约行为。于此情形下，乙方每逾期一日，甲方有权扣减本合同约定的编制工作报酬总额的3‰作为违约金；逾期15个工作日以上，甲方有权单方面解除合同，并有权要求乙方支付本合同约定的编制工作报酬总额的20%作为违约金。</w:t>
      </w:r>
    </w:p>
    <w:p w14:paraId="350A76AF">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（四）乙方所提交的</w:t>
      </w:r>
      <w:r>
        <w:rPr>
          <w:rFonts w:hint="eastAsia" w:ascii="仿宋_GB2312" w:eastAsia="仿宋_GB2312"/>
          <w:color w:val="000000" w:themeColor="text1"/>
          <w:sz w:val="28"/>
          <w:szCs w:val="28"/>
          <w:lang w:eastAsia="zh-CN"/>
          <w14:textFill>
            <w14:solidFill>
              <w14:schemeClr w14:val="tx1"/>
            </w14:solidFill>
          </w14:textFill>
        </w:rPr>
        <w:t>报告</w:t>
      </w:r>
      <w:r>
        <w:rPr>
          <w:rFonts w:hint="eastAsia" w:ascii="仿宋_GB2312" w:eastAsia="仿宋_GB2312"/>
          <w:color w:val="000000" w:themeColor="text1"/>
          <w:sz w:val="28"/>
          <w:szCs w:val="28"/>
          <w14:textFill>
            <w14:solidFill>
              <w14:schemeClr w14:val="tx1"/>
            </w14:solidFill>
          </w14:textFill>
        </w:rPr>
        <w:t>不符合约定，属于违约行为。于此情形下，乙方除无偿返工或者采取补救措施加以完善之外，还应承担违约赔偿责任。</w:t>
      </w:r>
    </w:p>
    <w:p w14:paraId="4080DB05">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（五）甲方未按本合同约定及时提交乙方开展编制工作所需要的技术、基础资料，属于违约行为。于此情形下，乙方可顺延向甲方交付报告的时间。</w:t>
      </w:r>
    </w:p>
    <w:p w14:paraId="715C548A">
      <w:pPr>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（六）甲方不按本合同约定支付编制工作报酬，属于违约行为。于此情形下，甲方除应继续向乙方支付合同约定的款项外，每逾期一个工作日，还应向乙方支付逾付款额的3‰作为违约金。</w:t>
      </w:r>
    </w:p>
    <w:p w14:paraId="6EB6D347">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w:t>
      </w:r>
      <w:r>
        <w:rPr>
          <w:rFonts w:hint="eastAsia" w:ascii="仿宋_GB2312" w:hAnsi="仿宋" w:eastAsia="仿宋_GB2312"/>
          <w:bCs/>
          <w:color w:val="000000" w:themeColor="text1"/>
          <w:sz w:val="28"/>
          <w:szCs w:val="28"/>
          <w:lang w:val="en-US" w:eastAsia="zh-CN"/>
          <w14:textFill>
            <w14:solidFill>
              <w14:schemeClr w14:val="tx1"/>
            </w14:solidFill>
          </w14:textFill>
        </w:rPr>
        <w:t>七</w:t>
      </w:r>
      <w:r>
        <w:rPr>
          <w:rFonts w:hint="eastAsia" w:ascii="仿宋_GB2312" w:hAnsi="仿宋" w:eastAsia="仿宋_GB2312"/>
          <w:bCs/>
          <w:color w:val="000000" w:themeColor="text1"/>
          <w:sz w:val="28"/>
          <w:szCs w:val="28"/>
          <w14:textFill>
            <w14:solidFill>
              <w14:schemeClr w14:val="tx1"/>
            </w14:solidFill>
          </w14:textFill>
        </w:rPr>
        <w:t>）未按合同要求提供服务或服务质量不能满足本次招标要求，甲方会同监督机构、采购代理机构有权终止合同和对乙方违约行为进行追究，同时按政府采购法的有关规定进行相应的处罚。</w:t>
      </w:r>
    </w:p>
    <w:p w14:paraId="0B98E842">
      <w:pPr>
        <w:autoSpaceDE w:val="0"/>
        <w:autoSpaceDN w:val="0"/>
        <w:adjustRightInd w:val="0"/>
        <w:spacing w:line="360" w:lineRule="auto"/>
        <w:ind w:firstLine="562" w:firstLineChars="200"/>
        <w:rPr>
          <w:rFonts w:hint="eastAsia" w:ascii="仿宋_GB2312" w:hAnsi="仿宋" w:eastAsia="仿宋_GB2312"/>
          <w:b/>
          <w:color w:val="000000" w:themeColor="text1"/>
          <w:sz w:val="28"/>
          <w:szCs w:val="28"/>
          <w14:textFill>
            <w14:solidFill>
              <w14:schemeClr w14:val="tx1"/>
            </w14:solidFill>
          </w14:textFill>
        </w:rPr>
      </w:pPr>
      <w:r>
        <w:rPr>
          <w:rFonts w:hint="eastAsia" w:ascii="仿宋_GB2312" w:hAnsi="仿宋" w:eastAsia="仿宋_GB2312"/>
          <w:b/>
          <w:color w:val="000000" w:themeColor="text1"/>
          <w:sz w:val="28"/>
          <w:szCs w:val="28"/>
          <w14:textFill>
            <w14:solidFill>
              <w14:schemeClr w14:val="tx1"/>
            </w14:solidFill>
          </w14:textFill>
        </w:rPr>
        <w:t>十</w:t>
      </w:r>
      <w:r>
        <w:rPr>
          <w:rFonts w:hint="eastAsia" w:ascii="仿宋_GB2312" w:hAnsi="仿宋" w:eastAsia="仿宋_GB2312"/>
          <w:b/>
          <w:color w:val="000000" w:themeColor="text1"/>
          <w:sz w:val="28"/>
          <w:szCs w:val="28"/>
          <w:lang w:val="en-US" w:eastAsia="zh-CN"/>
          <w14:textFill>
            <w14:solidFill>
              <w14:schemeClr w14:val="tx1"/>
            </w14:solidFill>
          </w14:textFill>
        </w:rPr>
        <w:t>二</w:t>
      </w:r>
      <w:r>
        <w:rPr>
          <w:rFonts w:hint="eastAsia" w:ascii="仿宋_GB2312" w:hAnsi="仿宋" w:eastAsia="仿宋_GB2312"/>
          <w:b/>
          <w:color w:val="000000" w:themeColor="text1"/>
          <w:sz w:val="28"/>
          <w:szCs w:val="28"/>
          <w14:textFill>
            <w14:solidFill>
              <w14:schemeClr w14:val="tx1"/>
            </w14:solidFill>
          </w14:textFill>
        </w:rPr>
        <w:t>、合同争议解决的方式</w:t>
      </w:r>
    </w:p>
    <w:p w14:paraId="7DB454FF">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本合同在履行过程中发生的争议，由甲、乙双方当事人协商解决，协商不成的按下列第</w:t>
      </w:r>
      <w:r>
        <w:rPr>
          <w:rFonts w:hint="eastAsia" w:ascii="仿宋_GB2312" w:hAnsi="仿宋" w:eastAsia="仿宋_GB2312"/>
          <w:bCs/>
          <w:color w:val="000000" w:themeColor="text1"/>
          <w:sz w:val="28"/>
          <w:szCs w:val="28"/>
          <w:u w:val="single"/>
          <w14:textFill>
            <w14:solidFill>
              <w14:schemeClr w14:val="tx1"/>
            </w14:solidFill>
          </w14:textFill>
        </w:rPr>
        <w:t>（二）</w:t>
      </w:r>
      <w:r>
        <w:rPr>
          <w:rFonts w:hint="eastAsia" w:ascii="仿宋_GB2312" w:hAnsi="仿宋" w:eastAsia="仿宋_GB2312"/>
          <w:bCs/>
          <w:color w:val="000000" w:themeColor="text1"/>
          <w:sz w:val="28"/>
          <w:szCs w:val="28"/>
          <w14:textFill>
            <w14:solidFill>
              <w14:schemeClr w14:val="tx1"/>
            </w14:solidFill>
          </w14:textFill>
        </w:rPr>
        <w:t>种方式解决：</w:t>
      </w:r>
    </w:p>
    <w:p w14:paraId="7B0CBEE7">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（一）提交</w:t>
      </w:r>
      <w:r>
        <w:rPr>
          <w:rFonts w:hint="eastAsia" w:ascii="仿宋_GB2312" w:hAnsi="仿宋" w:eastAsia="仿宋_GB2312"/>
          <w:bCs/>
          <w:color w:val="000000" w:themeColor="text1"/>
          <w:sz w:val="28"/>
          <w:szCs w:val="28"/>
          <w:lang w:eastAsia="zh-CN"/>
          <w14:textFill>
            <w14:solidFill>
              <w14:schemeClr w14:val="tx1"/>
            </w14:solidFill>
          </w14:textFill>
        </w:rPr>
        <w:t>汉中</w:t>
      </w:r>
      <w:r>
        <w:rPr>
          <w:rFonts w:hint="eastAsia" w:ascii="仿宋_GB2312" w:hAnsi="仿宋" w:eastAsia="仿宋_GB2312"/>
          <w:bCs/>
          <w:color w:val="000000" w:themeColor="text1"/>
          <w:sz w:val="28"/>
          <w:szCs w:val="28"/>
          <w14:textFill>
            <w14:solidFill>
              <w14:schemeClr w14:val="tx1"/>
            </w14:solidFill>
          </w14:textFill>
        </w:rPr>
        <w:t>仲裁委员会仲裁；</w:t>
      </w:r>
    </w:p>
    <w:p w14:paraId="68E76D32">
      <w:pPr>
        <w:autoSpaceDE w:val="0"/>
        <w:autoSpaceDN w:val="0"/>
        <w:adjustRightInd w:val="0"/>
        <w:spacing w:line="360" w:lineRule="auto"/>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（二）依法向甲方所在地法院起诉。</w:t>
      </w:r>
    </w:p>
    <w:p w14:paraId="6D5468E3">
      <w:pPr>
        <w:autoSpaceDE w:val="0"/>
        <w:autoSpaceDN w:val="0"/>
        <w:adjustRightInd w:val="0"/>
        <w:spacing w:line="360" w:lineRule="auto"/>
        <w:ind w:firstLine="562" w:firstLineChars="200"/>
        <w:rPr>
          <w:rFonts w:hint="eastAsia"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十</w:t>
      </w:r>
      <w:r>
        <w:rPr>
          <w:rFonts w:hint="eastAsia" w:ascii="仿宋_GB2312" w:hAnsi="仿宋" w:eastAsia="仿宋_GB2312"/>
          <w:b/>
          <w:bCs/>
          <w:color w:val="000000" w:themeColor="text1"/>
          <w:sz w:val="28"/>
          <w:szCs w:val="28"/>
          <w:lang w:val="en-US" w:eastAsia="zh-CN"/>
          <w14:textFill>
            <w14:solidFill>
              <w14:schemeClr w14:val="tx1"/>
            </w14:solidFill>
          </w14:textFill>
        </w:rPr>
        <w:t>三</w:t>
      </w:r>
      <w:r>
        <w:rPr>
          <w:rFonts w:hint="eastAsia" w:ascii="仿宋_GB2312" w:hAnsi="仿宋" w:eastAsia="仿宋_GB2312"/>
          <w:b/>
          <w:bCs/>
          <w:color w:val="000000" w:themeColor="text1"/>
          <w:sz w:val="28"/>
          <w:szCs w:val="28"/>
          <w14:textFill>
            <w14:solidFill>
              <w14:schemeClr w14:val="tx1"/>
            </w14:solidFill>
          </w14:textFill>
        </w:rPr>
        <w:t>、合同生效</w:t>
      </w:r>
    </w:p>
    <w:p w14:paraId="020233AB">
      <w:pPr>
        <w:autoSpaceDE w:val="0"/>
        <w:autoSpaceDN w:val="0"/>
        <w:adjustRightInd w:val="0"/>
        <w:spacing w:line="360" w:lineRule="auto"/>
        <w:ind w:firstLine="560" w:firstLineChars="200"/>
        <w:rPr>
          <w:rFonts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（一）本合同须经甲、乙双方的法定代表人（授权代理人）在合同书上签字并加盖本单位公章后正式生效。</w:t>
      </w:r>
    </w:p>
    <w:p w14:paraId="60A8A9F9">
      <w:pPr>
        <w:autoSpaceDE w:val="0"/>
        <w:autoSpaceDN w:val="0"/>
        <w:adjustRightInd w:val="0"/>
        <w:spacing w:line="360" w:lineRule="auto"/>
        <w:ind w:firstLine="560" w:firstLineChars="200"/>
        <w:rPr>
          <w:rFonts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（二）合同生效后，甲、乙双方须严格执行本合同条款的规定，全面履行合同，违者按《中华人民共和国民法典》的有关规定承担相应责任。</w:t>
      </w:r>
    </w:p>
    <w:p w14:paraId="6174E4C0">
      <w:pPr>
        <w:autoSpaceDE w:val="0"/>
        <w:autoSpaceDN w:val="0"/>
        <w:adjustRightInd w:val="0"/>
        <w:spacing w:line="360" w:lineRule="auto"/>
        <w:ind w:firstLine="560" w:firstLineChars="200"/>
        <w:rPr>
          <w:rFonts w:ascii="仿宋_GB2312" w:hAnsi="仿宋" w:eastAsia="仿宋_GB2312"/>
          <w:bCs/>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（三）本合同一式</w:t>
      </w:r>
      <w:r>
        <w:rPr>
          <w:rFonts w:hint="eastAsia" w:ascii="仿宋_GB2312" w:hAnsi="仿宋" w:eastAsia="仿宋_GB2312"/>
          <w:bCs/>
          <w:color w:val="000000" w:themeColor="text1"/>
          <w:sz w:val="28"/>
          <w:szCs w:val="28"/>
          <w:u w:val="single"/>
          <w14:textFill>
            <w14:solidFill>
              <w14:schemeClr w14:val="tx1"/>
            </w14:solidFill>
          </w14:textFill>
        </w:rPr>
        <w:t xml:space="preserve">   </w:t>
      </w:r>
      <w:r>
        <w:rPr>
          <w:rFonts w:hint="eastAsia" w:ascii="仿宋_GB2312" w:hAnsi="仿宋" w:eastAsia="仿宋_GB2312"/>
          <w:bCs/>
          <w:color w:val="000000" w:themeColor="text1"/>
          <w:sz w:val="28"/>
          <w:szCs w:val="28"/>
          <w14:textFill>
            <w14:solidFill>
              <w14:schemeClr w14:val="tx1"/>
            </w14:solidFill>
          </w14:textFill>
        </w:rPr>
        <w:t>份，甲乙双方各执</w:t>
      </w:r>
      <w:r>
        <w:rPr>
          <w:rFonts w:hint="eastAsia" w:ascii="仿宋_GB2312" w:hAnsi="仿宋" w:eastAsia="仿宋_GB2312"/>
          <w:bCs/>
          <w:color w:val="000000" w:themeColor="text1"/>
          <w:sz w:val="28"/>
          <w:szCs w:val="28"/>
          <w:u w:val="single"/>
          <w14:textFill>
            <w14:solidFill>
              <w14:schemeClr w14:val="tx1"/>
            </w14:solidFill>
          </w14:textFill>
        </w:rPr>
        <w:t xml:space="preserve">    </w:t>
      </w:r>
      <w:r>
        <w:rPr>
          <w:rFonts w:hint="eastAsia" w:ascii="仿宋_GB2312" w:hAnsi="仿宋" w:eastAsia="仿宋_GB2312"/>
          <w:bCs/>
          <w:color w:val="000000" w:themeColor="text1"/>
          <w:sz w:val="28"/>
          <w:szCs w:val="28"/>
          <w14:textFill>
            <w14:solidFill>
              <w14:schemeClr w14:val="tx1"/>
            </w14:solidFill>
          </w14:textFill>
        </w:rPr>
        <w:t>份。</w:t>
      </w:r>
    </w:p>
    <w:p w14:paraId="1628AE83">
      <w:pPr>
        <w:autoSpaceDE w:val="0"/>
        <w:autoSpaceDN w:val="0"/>
        <w:adjustRightInd w:val="0"/>
        <w:spacing w:line="360" w:lineRule="auto"/>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hAnsi="仿宋" w:eastAsia="仿宋_GB2312"/>
          <w:bCs/>
          <w:color w:val="000000" w:themeColor="text1"/>
          <w:sz w:val="28"/>
          <w:szCs w:val="28"/>
          <w14:textFill>
            <w14:solidFill>
              <w14:schemeClr w14:val="tx1"/>
            </w14:solidFill>
          </w14:textFill>
        </w:rPr>
        <w:t>（四）本合同如有未尽事宜，甲、乙双方协商解决。</w:t>
      </w:r>
    </w:p>
    <w:tbl>
      <w:tblPr>
        <w:tblStyle w:val="5"/>
        <w:tblW w:w="0" w:type="auto"/>
        <w:jc w:val="center"/>
        <w:tblLayout w:type="fixed"/>
        <w:tblCellMar>
          <w:top w:w="0" w:type="dxa"/>
          <w:left w:w="108" w:type="dxa"/>
          <w:bottom w:w="0" w:type="dxa"/>
          <w:right w:w="108" w:type="dxa"/>
        </w:tblCellMar>
      </w:tblPr>
      <w:tblGrid>
        <w:gridCol w:w="4095"/>
        <w:gridCol w:w="4695"/>
      </w:tblGrid>
      <w:tr w14:paraId="690663CF">
        <w:tblPrEx>
          <w:tblCellMar>
            <w:top w:w="0" w:type="dxa"/>
            <w:left w:w="108" w:type="dxa"/>
            <w:bottom w:w="0" w:type="dxa"/>
            <w:right w:w="108" w:type="dxa"/>
          </w:tblCellMar>
        </w:tblPrEx>
        <w:trPr>
          <w:trHeight w:val="567" w:hRule="exact"/>
          <w:jc w:val="center"/>
        </w:trPr>
        <w:tc>
          <w:tcPr>
            <w:tcW w:w="4095" w:type="dxa"/>
            <w:noWrap w:val="0"/>
            <w:vAlign w:val="center"/>
          </w:tcPr>
          <w:p w14:paraId="5586A5B4">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甲  方</w:t>
            </w:r>
          </w:p>
        </w:tc>
        <w:tc>
          <w:tcPr>
            <w:tcW w:w="4695" w:type="dxa"/>
            <w:noWrap w:val="0"/>
            <w:vAlign w:val="center"/>
          </w:tcPr>
          <w:p w14:paraId="5FA5F86D">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乙  方</w:t>
            </w:r>
          </w:p>
        </w:tc>
      </w:tr>
      <w:tr w14:paraId="7E61EEE8">
        <w:tblPrEx>
          <w:tblCellMar>
            <w:top w:w="0" w:type="dxa"/>
            <w:left w:w="108" w:type="dxa"/>
            <w:bottom w:w="0" w:type="dxa"/>
            <w:right w:w="108" w:type="dxa"/>
          </w:tblCellMar>
        </w:tblPrEx>
        <w:trPr>
          <w:trHeight w:val="567" w:hRule="exact"/>
          <w:jc w:val="center"/>
        </w:trPr>
        <w:tc>
          <w:tcPr>
            <w:tcW w:w="4095" w:type="dxa"/>
            <w:noWrap w:val="0"/>
            <w:vAlign w:val="center"/>
          </w:tcPr>
          <w:p w14:paraId="7CF5BA42">
            <w:pPr>
              <w:autoSpaceDE w:val="0"/>
              <w:autoSpaceDN w:val="0"/>
              <w:adjustRightInd w:val="0"/>
              <w:ind w:firstLine="840" w:firstLineChars="35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（盖章）</w:t>
            </w:r>
          </w:p>
        </w:tc>
        <w:tc>
          <w:tcPr>
            <w:tcW w:w="4695" w:type="dxa"/>
            <w:noWrap w:val="0"/>
            <w:vAlign w:val="center"/>
          </w:tcPr>
          <w:p w14:paraId="2DB5C63C">
            <w:pPr>
              <w:autoSpaceDE w:val="0"/>
              <w:autoSpaceDN w:val="0"/>
              <w:adjustRightInd w:val="0"/>
              <w:ind w:firstLine="960" w:firstLineChars="40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（盖章）</w:t>
            </w:r>
          </w:p>
        </w:tc>
      </w:tr>
      <w:tr w14:paraId="44BD035A">
        <w:tblPrEx>
          <w:tblCellMar>
            <w:top w:w="0" w:type="dxa"/>
            <w:left w:w="108" w:type="dxa"/>
            <w:bottom w:w="0" w:type="dxa"/>
            <w:right w:w="108" w:type="dxa"/>
          </w:tblCellMar>
        </w:tblPrEx>
        <w:trPr>
          <w:trHeight w:val="567" w:hRule="exact"/>
          <w:jc w:val="center"/>
        </w:trPr>
        <w:tc>
          <w:tcPr>
            <w:tcW w:w="4095" w:type="dxa"/>
            <w:noWrap w:val="0"/>
            <w:vAlign w:val="center"/>
          </w:tcPr>
          <w:p w14:paraId="7173DDA4">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 xml:space="preserve">地址： </w:t>
            </w:r>
          </w:p>
        </w:tc>
        <w:tc>
          <w:tcPr>
            <w:tcW w:w="4695" w:type="dxa"/>
            <w:noWrap w:val="0"/>
            <w:vAlign w:val="center"/>
          </w:tcPr>
          <w:p w14:paraId="1076BEE6">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地址：</w:t>
            </w:r>
          </w:p>
        </w:tc>
      </w:tr>
      <w:tr w14:paraId="0AE85760">
        <w:tblPrEx>
          <w:tblCellMar>
            <w:top w:w="0" w:type="dxa"/>
            <w:left w:w="108" w:type="dxa"/>
            <w:bottom w:w="0" w:type="dxa"/>
            <w:right w:w="108" w:type="dxa"/>
          </w:tblCellMar>
        </w:tblPrEx>
        <w:trPr>
          <w:trHeight w:val="567" w:hRule="exact"/>
          <w:jc w:val="center"/>
        </w:trPr>
        <w:tc>
          <w:tcPr>
            <w:tcW w:w="4095" w:type="dxa"/>
            <w:noWrap w:val="0"/>
            <w:vAlign w:val="center"/>
          </w:tcPr>
          <w:p w14:paraId="2945FD06">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邮编：</w:t>
            </w:r>
          </w:p>
        </w:tc>
        <w:tc>
          <w:tcPr>
            <w:tcW w:w="4695" w:type="dxa"/>
            <w:noWrap w:val="0"/>
            <w:vAlign w:val="center"/>
          </w:tcPr>
          <w:p w14:paraId="72AC00DA">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邮编：</w:t>
            </w:r>
          </w:p>
        </w:tc>
      </w:tr>
      <w:tr w14:paraId="609DBB0A">
        <w:tblPrEx>
          <w:tblCellMar>
            <w:top w:w="0" w:type="dxa"/>
            <w:left w:w="108" w:type="dxa"/>
            <w:bottom w:w="0" w:type="dxa"/>
            <w:right w:w="108" w:type="dxa"/>
          </w:tblCellMar>
        </w:tblPrEx>
        <w:trPr>
          <w:trHeight w:val="567" w:hRule="exact"/>
          <w:jc w:val="center"/>
        </w:trPr>
        <w:tc>
          <w:tcPr>
            <w:tcW w:w="4095" w:type="dxa"/>
            <w:noWrap w:val="0"/>
            <w:vAlign w:val="center"/>
          </w:tcPr>
          <w:p w14:paraId="2CCE1E39">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 xml:space="preserve">法定代表人： </w:t>
            </w:r>
          </w:p>
        </w:tc>
        <w:tc>
          <w:tcPr>
            <w:tcW w:w="4695" w:type="dxa"/>
            <w:noWrap w:val="0"/>
            <w:vAlign w:val="center"/>
          </w:tcPr>
          <w:p w14:paraId="048E6668">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法定代表人：</w:t>
            </w:r>
          </w:p>
        </w:tc>
      </w:tr>
      <w:tr w14:paraId="05BD75C0">
        <w:tblPrEx>
          <w:tblCellMar>
            <w:top w:w="0" w:type="dxa"/>
            <w:left w:w="108" w:type="dxa"/>
            <w:bottom w:w="0" w:type="dxa"/>
            <w:right w:w="108" w:type="dxa"/>
          </w:tblCellMar>
        </w:tblPrEx>
        <w:trPr>
          <w:trHeight w:val="567" w:hRule="exact"/>
          <w:jc w:val="center"/>
        </w:trPr>
        <w:tc>
          <w:tcPr>
            <w:tcW w:w="4095" w:type="dxa"/>
            <w:noWrap w:val="0"/>
            <w:vAlign w:val="center"/>
          </w:tcPr>
          <w:p w14:paraId="76A00EE8">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被授权代表：</w:t>
            </w:r>
          </w:p>
        </w:tc>
        <w:tc>
          <w:tcPr>
            <w:tcW w:w="4695" w:type="dxa"/>
            <w:noWrap w:val="0"/>
            <w:vAlign w:val="center"/>
          </w:tcPr>
          <w:p w14:paraId="01A0C262">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被授权代表：</w:t>
            </w:r>
          </w:p>
        </w:tc>
      </w:tr>
      <w:tr w14:paraId="5A930DE0">
        <w:tblPrEx>
          <w:tblCellMar>
            <w:top w:w="0" w:type="dxa"/>
            <w:left w:w="108" w:type="dxa"/>
            <w:bottom w:w="0" w:type="dxa"/>
            <w:right w:w="108" w:type="dxa"/>
          </w:tblCellMar>
        </w:tblPrEx>
        <w:trPr>
          <w:trHeight w:val="567" w:hRule="exact"/>
          <w:jc w:val="center"/>
        </w:trPr>
        <w:tc>
          <w:tcPr>
            <w:tcW w:w="4095" w:type="dxa"/>
            <w:noWrap w:val="0"/>
            <w:vAlign w:val="center"/>
          </w:tcPr>
          <w:p w14:paraId="1B09C3F0">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电话：</w:t>
            </w:r>
          </w:p>
        </w:tc>
        <w:tc>
          <w:tcPr>
            <w:tcW w:w="4695" w:type="dxa"/>
            <w:noWrap w:val="0"/>
            <w:vAlign w:val="center"/>
          </w:tcPr>
          <w:p w14:paraId="0263FF43">
            <w:pPr>
              <w:autoSpaceDE w:val="0"/>
              <w:autoSpaceDN w:val="0"/>
              <w:adjustRightInd w:val="0"/>
              <w:ind w:left="840" w:hanging="720" w:hangingChars="30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电话：</w:t>
            </w:r>
          </w:p>
        </w:tc>
      </w:tr>
      <w:tr w14:paraId="551959DF">
        <w:tblPrEx>
          <w:tblCellMar>
            <w:top w:w="0" w:type="dxa"/>
            <w:left w:w="108" w:type="dxa"/>
            <w:bottom w:w="0" w:type="dxa"/>
            <w:right w:w="108" w:type="dxa"/>
          </w:tblCellMar>
        </w:tblPrEx>
        <w:trPr>
          <w:trHeight w:val="567" w:hRule="exact"/>
          <w:jc w:val="center"/>
        </w:trPr>
        <w:tc>
          <w:tcPr>
            <w:tcW w:w="4095" w:type="dxa"/>
            <w:noWrap w:val="0"/>
            <w:vAlign w:val="center"/>
          </w:tcPr>
          <w:p w14:paraId="1B14C9F0">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传真：</w:t>
            </w:r>
          </w:p>
        </w:tc>
        <w:tc>
          <w:tcPr>
            <w:tcW w:w="4695" w:type="dxa"/>
            <w:noWrap w:val="0"/>
            <w:vAlign w:val="center"/>
          </w:tcPr>
          <w:p w14:paraId="3A5092F7">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传真：</w:t>
            </w:r>
          </w:p>
        </w:tc>
      </w:tr>
      <w:tr w14:paraId="166BEFA2">
        <w:tblPrEx>
          <w:tblCellMar>
            <w:top w:w="0" w:type="dxa"/>
            <w:left w:w="108" w:type="dxa"/>
            <w:bottom w:w="0" w:type="dxa"/>
            <w:right w:w="108" w:type="dxa"/>
          </w:tblCellMar>
        </w:tblPrEx>
        <w:trPr>
          <w:trHeight w:val="567" w:hRule="exact"/>
          <w:jc w:val="center"/>
        </w:trPr>
        <w:tc>
          <w:tcPr>
            <w:tcW w:w="4095" w:type="dxa"/>
            <w:noWrap w:val="0"/>
            <w:vAlign w:val="center"/>
          </w:tcPr>
          <w:p w14:paraId="062D0A4D">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开户银行：</w:t>
            </w:r>
          </w:p>
        </w:tc>
        <w:tc>
          <w:tcPr>
            <w:tcW w:w="4695" w:type="dxa"/>
            <w:noWrap w:val="0"/>
            <w:vAlign w:val="center"/>
          </w:tcPr>
          <w:p w14:paraId="408B6231">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开户银行：</w:t>
            </w:r>
          </w:p>
        </w:tc>
      </w:tr>
      <w:tr w14:paraId="29FF0421">
        <w:tblPrEx>
          <w:tblCellMar>
            <w:top w:w="0" w:type="dxa"/>
            <w:left w:w="108" w:type="dxa"/>
            <w:bottom w:w="0" w:type="dxa"/>
            <w:right w:w="108" w:type="dxa"/>
          </w:tblCellMar>
        </w:tblPrEx>
        <w:trPr>
          <w:trHeight w:val="567" w:hRule="exact"/>
          <w:jc w:val="center"/>
        </w:trPr>
        <w:tc>
          <w:tcPr>
            <w:tcW w:w="4095" w:type="dxa"/>
            <w:noWrap w:val="0"/>
            <w:vAlign w:val="center"/>
          </w:tcPr>
          <w:p w14:paraId="0EAC802C">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日期：</w:t>
            </w:r>
          </w:p>
        </w:tc>
        <w:tc>
          <w:tcPr>
            <w:tcW w:w="4695" w:type="dxa"/>
            <w:noWrap w:val="0"/>
            <w:vAlign w:val="center"/>
          </w:tcPr>
          <w:p w14:paraId="3BC7649D">
            <w:pPr>
              <w:autoSpaceDE w:val="0"/>
              <w:autoSpaceDN w:val="0"/>
              <w:adjustRightInd w:val="0"/>
              <w:rPr>
                <w:rFonts w:hint="eastAsia" w:ascii="仿宋_GB2312" w:hAnsi="宋体" w:eastAsia="仿宋_GB2312"/>
                <w:color w:val="000000" w:themeColor="text1"/>
                <w:spacing w:val="-20"/>
                <w:kern w:val="0"/>
                <w:sz w:val="28"/>
                <w:szCs w:val="28"/>
                <w14:textFill>
                  <w14:solidFill>
                    <w14:schemeClr w14:val="tx1"/>
                  </w14:solidFill>
                </w14:textFill>
              </w:rPr>
            </w:pPr>
            <w:r>
              <w:rPr>
                <w:rFonts w:hint="eastAsia" w:ascii="仿宋_GB2312" w:hAnsi="宋体" w:eastAsia="仿宋_GB2312"/>
                <w:color w:val="000000" w:themeColor="text1"/>
                <w:spacing w:val="-20"/>
                <w:kern w:val="0"/>
                <w:sz w:val="28"/>
                <w:szCs w:val="28"/>
                <w14:textFill>
                  <w14:solidFill>
                    <w14:schemeClr w14:val="tx1"/>
                  </w14:solidFill>
                </w14:textFill>
              </w:rPr>
              <w:t>日期：</w:t>
            </w:r>
          </w:p>
        </w:tc>
      </w:tr>
    </w:tbl>
    <w:p w14:paraId="651E56FC">
      <w:pPr>
        <w:rPr>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9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0"/>
      <w:jc w:val="left"/>
    </w:pPr>
    <w:rPr>
      <w:rFonts w:ascii="Times New Roman" w:hAnsi="Times New Roman" w:eastAsia="宋体"/>
      <w:kern w:val="0"/>
      <w:sz w:val="21"/>
      <w:lang w:val="en-US" w:eastAsia="zh-CN" w:bidi="ar-SA"/>
    </w:rPr>
  </w:style>
  <w:style w:type="paragraph" w:styleId="4">
    <w:name w:val="Body Text First Indent"/>
    <w:basedOn w:val="2"/>
    <w:qFormat/>
    <w:uiPriority w:val="0"/>
    <w:pPr>
      <w:spacing w:line="360" w:lineRule="auto"/>
      <w:ind w:firstLine="420"/>
    </w:pPr>
    <w:rPr>
      <w:rFonts w:ascii="宋体" w:hAnsi="宋体"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2025-08-21T10:25:26Z</dcterms:created>
  <dc:creator>Administrator</dc:creator>
  <cp:lastModifiedBy>Administrator</cp:lastModifiedBy>
  <dcterms:modified xsi:type="dcterms:W3CDTF">2025-08-21T10:32:16Z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eyJoZGlkIjoiZDA1NjFmMGZjY2I5M2Y5MTMzYmQ0YWJmOTQ1NGRlOTIifQ==</vt:lpwstr>
  </property>
  <property fmtid="{D5CDD505-2E9C-101B-9397-08002B2CF9AE}" pid="4" name="ICV">
    <vt:lpwstr>8F08F84CABDE4F73A6FB690D1299B628_12</vt:lpwstr>
  </property>
</Properties>
</file>