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版本号：2025-HZZB-HZ-02320250821002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略阳县河道采砂规划（2026-2030年）编制项目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2025-HZZB-HZ-023</w:t>
      </w:r>
      <w:r>
        <w:br/>
      </w:r>
      <w:r>
        <w:br/>
      </w:r>
      <w:r>
        <w:br/>
      </w:r>
    </w:p>
    <w:p>
      <w:pPr>
        <w:pStyle w:val="null3"/>
        <w:jc w:val="center"/>
        <w:outlineLvl w:val="2"/>
      </w:pPr>
      <w:r>
        <w:rPr>
          <w:rFonts w:ascii="仿宋_GB2312" w:hAnsi="仿宋_GB2312" w:cs="仿宋_GB2312" w:eastAsia="仿宋_GB2312"/>
          <w:sz w:val="28"/>
          <w:b/>
        </w:rPr>
        <w:t>略阳县水利局</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略阳县水利局</w:t>
      </w:r>
      <w:r>
        <w:rPr>
          <w:rFonts w:ascii="仿宋_GB2312" w:hAnsi="仿宋_GB2312" w:cs="仿宋_GB2312" w:eastAsia="仿宋_GB2312"/>
        </w:rPr>
        <w:t>委托，拟对</w:t>
      </w:r>
      <w:r>
        <w:rPr>
          <w:rFonts w:ascii="仿宋_GB2312" w:hAnsi="仿宋_GB2312" w:cs="仿宋_GB2312" w:eastAsia="仿宋_GB2312"/>
        </w:rPr>
        <w:t>略阳县河道采砂规划（2026-2030年）编制项目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2025-HZZB-HZ-023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略阳县河道采砂规划（2026-2030年）编制项目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梳理略阳县境内河道采砂需求，根据相关法律法规和《河道采砂规划编制与实施监督管理技术规范》（SL/T423-2021），重点对嘉陵江、青泥河、西汉水、乐素河、黑河及白河等6条主要河流进行采砂规划编制、砂质勘察设计及相关环境影响评价报告编制，以及规划期的后续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3、资质要求：具备工程设计综合资质甲级或水利行业工程设计乙级及以上资质;</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略阳县人民政府6楼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汉中市汉台区汉上第一街12号楼 23 层04-05号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0916-8886036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开户名称：衡正国际工程咨询有限公司汉中分公司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 0552 0910 0052 851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及国家发展委下发的《关于降低部分建设项目收费标准规范收费行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略阳县水利局</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联系电话：0916-8886036</w:t>
      </w:r>
    </w:p>
    <w:p>
      <w:pPr>
        <w:pStyle w:val="null3"/>
      </w:pPr>
      <w:r>
        <w:rPr>
          <w:rFonts w:ascii="仿宋_GB2312" w:hAnsi="仿宋_GB2312" w:cs="仿宋_GB2312" w:eastAsia="仿宋_GB2312"/>
        </w:rPr>
        <w:t>地址：汉中市汉台区汉上第一街12号楼 23 层04-05号采购和招标代理部</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梳理略阳县境内河道采砂需求，根据相关法律法规和《河道采砂规划编制与实施监督管理技术规范》（SL/T423-2021），重点对嘉陵江、青泥河、西汉水、乐素河、黑河及白河等6条主要河流进行采砂规划编制、砂质勘察设计及相关环境影响评价报告编制，以及规划期的后续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略阳县河道采砂规划（2026-2030年）编制项目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标的名称：略阳县河道采砂规划（2026-2030年）编制项目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一、项目基本情况</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略阳县水利局关于略阳县河道采砂规划（</w:t>
            </w:r>
            <w:r>
              <w:rPr>
                <w:rFonts w:ascii="仿宋_GB2312" w:hAnsi="仿宋_GB2312" w:cs="仿宋_GB2312" w:eastAsia="仿宋_GB2312"/>
                <w:sz w:val="24"/>
              </w:rPr>
              <w:t>2026-2030年）编制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规划期：</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3、项目概况：梳理略阳县境内河道采砂需求，根据相关法律法规和《河道采砂规划编制与实施监督管理技术规范》（SL/T423-2021），重点对嘉陵江、青泥河、西汉水、乐素河、黑河及白河等6条主要河流进行采砂规划编制、砂质勘察设计及相关环境影响评价报告编制，以及规划期的后续服务工作。</w:t>
            </w:r>
          </w:p>
          <w:p>
            <w:pPr>
              <w:pStyle w:val="null3"/>
              <w:jc w:val="both"/>
            </w:pPr>
            <w:r>
              <w:rPr>
                <w:rFonts w:ascii="仿宋_GB2312" w:hAnsi="仿宋_GB2312" w:cs="仿宋_GB2312" w:eastAsia="仿宋_GB2312"/>
                <w:sz w:val="24"/>
                <w:b/>
              </w:rPr>
              <w:t>二、服务内容及要求</w:t>
            </w:r>
          </w:p>
          <w:p>
            <w:pPr>
              <w:pStyle w:val="null3"/>
            </w:pPr>
            <w:r>
              <w:rPr>
                <w:rFonts w:ascii="仿宋_GB2312" w:hAnsi="仿宋_GB2312" w:cs="仿宋_GB2312" w:eastAsia="仿宋_GB2312"/>
                <w:sz w:val="24"/>
              </w:rPr>
              <w:t>1、进行现场查勘调研，收集河道地形、水文泥沙、涉水工程、生态敏感区、社会经济等基础资料，开展必要的河道地形测量，摸清略阳县境内河道砂石资源分布及利用现状，在对接略阳县水利、环保、发改、国土、农业、林业、住建、交通等部门的基础上，梳理总结经济发展对砂石利用需求以及采砂管理新形势新要求，提出规划原则、规划范围及任务。</w:t>
            </w:r>
          </w:p>
          <w:p>
            <w:pPr>
              <w:pStyle w:val="null3"/>
            </w:pPr>
            <w:r>
              <w:rPr>
                <w:rFonts w:ascii="仿宋_GB2312" w:hAnsi="仿宋_GB2312" w:cs="仿宋_GB2312" w:eastAsia="仿宋_GB2312"/>
                <w:sz w:val="24"/>
              </w:rPr>
              <w:t>2、综合评估河道特性及监管要求，重点针对砂石储量较大、开采需求旺盛和采砂管理任务较重的嘉陵江、青泥河、西汉水、乐素河、黑河、白河等6条河流，开展河道演变分析和砂石补给分析，结合砂石资源分布现状，估算河道可利用砂石总量，为制定河道采砂方案提供科学依据。</w:t>
            </w:r>
          </w:p>
          <w:p>
            <w:pPr>
              <w:pStyle w:val="null3"/>
            </w:pPr>
            <w:r>
              <w:rPr>
                <w:rFonts w:ascii="仿宋_GB2312" w:hAnsi="仿宋_GB2312" w:cs="仿宋_GB2312" w:eastAsia="仿宋_GB2312"/>
                <w:sz w:val="24"/>
              </w:rPr>
              <w:t>3、充分考虑河道采砂与河势稳定、防洪安全、供水安全、航道与通航安全、生态环境保护和基础设施安全的关系，明晰采砂活动的限制性条件，紧扣生态优先、绿色发展理念，科学布局可采区，严格划定禁采区和禁采期，明确可采区开采范围、深度、开采量及采砂作业方式，分析采砂对河势、防洪、水生态保护等方面的影响，提出采砂规划实施与管理要求，满足略阳县2026-2030年河道采砂管理需要。</w:t>
            </w:r>
          </w:p>
          <w:p>
            <w:pPr>
              <w:pStyle w:val="null3"/>
            </w:pPr>
            <w:r>
              <w:rPr>
                <w:rFonts w:ascii="仿宋_GB2312" w:hAnsi="仿宋_GB2312" w:cs="仿宋_GB2312" w:eastAsia="仿宋_GB2312"/>
                <w:sz w:val="24"/>
              </w:rPr>
              <w:t>4、根据本采砂规划审批要求，同时编制本规划项目环境影响评价报告报主管部门进行审批，由相关单位进行审查，审查合格方可通过。采砂规划环评编制应按照《中华人民共和国环境影响评价法》、《中华人民共和国环境保护法》、《规划环境影响评价技术导则 总纲》（HJ 130-2014） 及其他相关规程规范、符合国家及本省的相关法规和政策。</w:t>
            </w:r>
          </w:p>
          <w:p>
            <w:pPr>
              <w:pStyle w:val="null3"/>
            </w:pPr>
            <w:r>
              <w:rPr>
                <w:rFonts w:ascii="仿宋_GB2312" w:hAnsi="仿宋_GB2312" w:cs="仿宋_GB2312" w:eastAsia="仿宋_GB2312"/>
                <w:sz w:val="24"/>
                <w:b/>
              </w:rPr>
              <w:t>三、相关规范</w:t>
            </w:r>
          </w:p>
          <w:p>
            <w:pPr>
              <w:pStyle w:val="null3"/>
            </w:pPr>
            <w:r>
              <w:rPr>
                <w:rFonts w:ascii="仿宋_GB2312" w:hAnsi="仿宋_GB2312" w:cs="仿宋_GB2312" w:eastAsia="仿宋_GB2312"/>
                <w:sz w:val="24"/>
              </w:rPr>
              <w:t>采砂规划须满足《水利部关于河道采砂管理工作的指导意见》（水河湖〔2019〕58号）、《关于加快规划编制工作、合理开发利用河道砂石资源的通知》（办河湖〔2019〕1054号）、《陕西省河长制办公室关于启动我省河道采砂规划（2026-2030年）编制工作的通知》（陕河湖长函〔2025〕17号）的要求，同时报告编制应满足相关法律法规及《河道采砂规划编制与实施监督管理技术规范》（SL/T423-2021）等技术规范要求。</w:t>
            </w:r>
          </w:p>
          <w:p>
            <w:pPr>
              <w:pStyle w:val="null3"/>
              <w:jc w:val="both"/>
            </w:pPr>
            <w:r>
              <w:rPr>
                <w:rFonts w:ascii="仿宋_GB2312" w:hAnsi="仿宋_GB2312" w:cs="仿宋_GB2312" w:eastAsia="仿宋_GB2312"/>
                <w:sz w:val="24"/>
                <w:b/>
              </w:rPr>
              <w:t>四、成果文件</w:t>
            </w:r>
            <w:r>
              <w:rPr>
                <w:rFonts w:ascii="仿宋_GB2312" w:hAnsi="仿宋_GB2312" w:cs="仿宋_GB2312" w:eastAsia="仿宋_GB2312"/>
                <w:sz w:val="24"/>
                <w:b/>
              </w:rPr>
              <w:t>份数要求</w:t>
            </w:r>
          </w:p>
          <w:p>
            <w:pPr>
              <w:pStyle w:val="null3"/>
            </w:pPr>
            <w:r>
              <w:rPr>
                <w:rFonts w:ascii="仿宋_GB2312" w:hAnsi="仿宋_GB2312" w:cs="仿宋_GB2312" w:eastAsia="仿宋_GB2312"/>
                <w:sz w:val="24"/>
              </w:rPr>
              <w:t>1、成果交付期：合同签订之日起45日历天提交成果文件。</w:t>
            </w:r>
          </w:p>
          <w:p>
            <w:pPr>
              <w:pStyle w:val="null3"/>
            </w:pPr>
            <w:r>
              <w:rPr>
                <w:rFonts w:ascii="仿宋_GB2312" w:hAnsi="仿宋_GB2312" w:cs="仿宋_GB2312" w:eastAsia="仿宋_GB2312"/>
                <w:sz w:val="24"/>
              </w:rPr>
              <w:t>2、成果文件纸质版（一式十份）</w:t>
            </w:r>
          </w:p>
          <w:p>
            <w:pPr>
              <w:pStyle w:val="null3"/>
            </w:pPr>
            <w:r>
              <w:rPr>
                <w:rFonts w:ascii="仿宋_GB2312" w:hAnsi="仿宋_GB2312" w:cs="仿宋_GB2312" w:eastAsia="仿宋_GB2312"/>
                <w:sz w:val="24"/>
              </w:rPr>
              <w:t>纸质版版成果文件按</w:t>
            </w:r>
            <w:r>
              <w:rPr>
                <w:rFonts w:ascii="仿宋_GB2312" w:hAnsi="仿宋_GB2312" w:cs="仿宋_GB2312" w:eastAsia="仿宋_GB2312"/>
                <w:sz w:val="24"/>
              </w:rPr>
              <w:t>A4规格印制；若有图纸，图纸一律按A3规格印制；所有纸质成果需装订成册。</w:t>
            </w:r>
          </w:p>
          <w:p>
            <w:pPr>
              <w:pStyle w:val="null3"/>
            </w:pPr>
            <w:r>
              <w:rPr>
                <w:rFonts w:ascii="仿宋_GB2312" w:hAnsi="仿宋_GB2312" w:cs="仿宋_GB2312" w:eastAsia="仿宋_GB2312"/>
                <w:sz w:val="24"/>
              </w:rPr>
              <w:t>3、电子文件（一份）</w:t>
            </w:r>
          </w:p>
          <w:p>
            <w:pPr>
              <w:pStyle w:val="null3"/>
              <w:jc w:val="both"/>
            </w:pPr>
            <w:r>
              <w:rPr>
                <w:rFonts w:ascii="仿宋_GB2312" w:hAnsi="仿宋_GB2312" w:cs="仿宋_GB2312" w:eastAsia="仿宋_GB2312"/>
                <w:sz w:val="24"/>
              </w:rPr>
              <w:t>提供完整的编制资料电子文件一套。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成果交付期：合同签订之日起45日历天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满足国家相关技术规范及有关政策的要求，通过采购人组织的成果审查验收。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一、供应商缴纳磋商保证金须备注项目名称、项目编号，并将缴纳凭证提交至代理公司换取保证金缴纳收据证明； 二、评审标准： 1、针对性： （1）针对性强：方案能够完全切合本项目实际情况。 （2）具有一定的针对性：方案结构基本完整，能切合本项实际情况，对项目关键环节及服务要求针对性较强。 （3）针对性一般：方案中多数内容能够切合本项目实际情况，但存在至少一处不适用本项目实际的内容。 （4）缺乏针对性：方案描述不符合本项目实际情况，存在明显套用其他项目方案的内容。 2、可实施性： （1）可实施性强：方案工作流程完善，实施步骤清晰，科学合理，可实施性强。 （2）具有一定的可实施性：方案工作流程基本完善，能切合本项实际情况，可实施性较强。 （3）可实施性一般：方案中存在至少一处表述模糊、难以执行或不够科学合理的内容。 （4）缺乏可实施性：方案内容空洞，工作流程不完善，实施标准、实施质量不利于采购需求的实现，存在逻辑漏洞、常识错误或合理性差。 3、方案内容有缺项、漏项、未提供的得0分。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具备工程设计综合资质甲级或水利行业工程设计乙级及以上资质;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其他证明材料.docx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唯一报价且不超过采购预算（最高限价）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供应商应按采购文件约定交纳磋商保证金，并提供采购代理机构出具的保证金缴纳收据证明</w:t>
            </w:r>
          </w:p>
        </w:tc>
        <w:tc>
          <w:tcPr>
            <w:tcW w:type="dxa" w:w="1661"/>
          </w:tcPr>
          <w:p>
            <w:pPr>
              <w:pStyle w:val="null3"/>
            </w:pPr>
            <w:r>
              <w:rPr>
                <w:rFonts w:ascii="仿宋_GB2312" w:hAnsi="仿宋_GB2312" w:cs="仿宋_GB2312" w:eastAsia="仿宋_GB2312"/>
              </w:rPr>
              <w:t>其他证明材料.docx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提供2022年1月1日至今同类项目业绩，每提供一个得2分，满分10分。 评审依据：以供应商提供的合同或中标通知书复印件加盖公章为准，未提供不得分。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1、拟派项目负责人具备水利类相关专业高级及以上技术职称得3分。 评审依据：以供应商提供的项目负责人身份证、职称证书、在职证明（近三个月中任意一个月社保缴纳证明或退休返聘人员提供劳动合同及退休证明材料）复印件加盖公章为准，未提供不得分。 2、项目负责人2022年1月1日至今承担过同类项目业绩的，每提供1个得2分，本项最高得分4分。 评审依据：以供应商提供的项目合同或中标通知书或成果报告责任页复印件加盖公章为准，证明材料中应载明项目负责人姓名，且在项目中担任项目负责人或技术负责人职务。未提供不得分。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拟派项目组成人员具有水利类相关专业高级及以上技术职称的，每配备1人得1分，最高得8分。 评审依据：以供应商提供的项目负责人身份证、职称证书、在职证明（近三个月中任意一个月社保缴纳证明或退休返聘人员提供劳动合同及退休证明材料）复印件加盖公章为准，未提供不得分。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针对本项目提供完整、合理、详细的服务方案，内容包括：①项目背景、现状、规划条件的认识和了解 ②工作目标及方法。 1、完整性：方案内容完整全面，对上述各项内容均有详细描述及说明得2分；每缺1项扣1分。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针对本项目提供完整、合理、详细的实施方案，内容包括：①实施计划 ②项目的规划实施方案 ③项目的环评实施方案 ④项目的砂质勘察设计实施方案。 1、完整性：方案内容完整全面，对上述各项内容均有详细描述及说明得2分；每缺1项扣0.5分。 2、针对性：针对性强，得6分；具有一定的针对性，得4分；针对性一般，得2分；缺乏针对性，得1分。 3、可实施性：可实施性强，得6分；具有一定的可实施性，得4分；可实施性一般，得2分；缺乏可实施性，得1分。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针对本项目提供完整、合理、详细质量保证措施，内容包含：①建立质量控制体系 ②内控制度：服务质量监督考核办法、奖惩制定、问责机制工作制度完备 ③成果质量保障措施 ④问题预防措施。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针对本项目提供完整、合理、详细进度保证措施，内容包含：①工作进度安排 ②项目组织架构 ③人员配备分工 ④设备投入计划及管理措施。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针对本项目建设工作的重点、难点开展分析，内容包含：①重、难点分析理解 ②重、难点问题的对策措施。 1、完整性：方案内容完整全面，对上述各项内容均有详细描述及说明得1分；每缺1项扣0.5分。 2、针对性：针对性强，得4分；具有一定的针对性，得3分；针对性一般，得2分；缺乏针对性，得1分。 3、可实施性：可实施性强，得4分；具有一定的可实施性，得3分；可实施性一般，得2分；缺乏可实施性，得1分。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针对本项目提供完整、合理、详细应急预案，内容包含：①可能遇到的实际问题调研、分析、解决方案 ②突发事件应急保障预案。 1、完整性：方案内容完整全面，对上述各项内容均有详细描述及说明得1分；每缺1项扣0.5分。 2、针对性：针对性强，得3分；具有一定的针对性，得2分；针对性一般，得1分；缺乏针对性，得0.5分。 3、可实施性：可实施性强，得3分；具有一定的可实施性，得2分；可实施性一般，得1分；缺乏可实施性，得0.5分。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