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版本号：2025-HZZB-HZ-025.1B120250901001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略阳县21条河流一河一策方案修编项目(二次)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2025-HZZB-HZ-025.1B1</w:t>
      </w:r>
      <w:r>
        <w:br/>
      </w:r>
      <w:r>
        <w:br/>
      </w:r>
      <w:r>
        <w:br/>
      </w:r>
    </w:p>
    <w:p>
      <w:pPr>
        <w:pStyle w:val="null3"/>
        <w:jc w:val="center"/>
        <w:outlineLvl w:val="2"/>
      </w:pPr>
      <w:r>
        <w:rPr>
          <w:rFonts w:ascii="仿宋_GB2312" w:hAnsi="仿宋_GB2312" w:cs="仿宋_GB2312" w:eastAsia="仿宋_GB2312"/>
          <w:sz w:val="28"/>
          <w:b/>
        </w:rPr>
        <w:t>略阳县水利局</w:t>
      </w:r>
    </w:p>
    <w:p>
      <w:pPr>
        <w:pStyle w:val="null3"/>
        <w:jc w:val="center"/>
        <w:outlineLvl w:val="2"/>
      </w:pPr>
      <w:r>
        <w:rPr>
          <w:rFonts w:ascii="仿宋_GB2312" w:hAnsi="仿宋_GB2312" w:cs="仿宋_GB2312" w:eastAsia="仿宋_GB2312"/>
          <w:sz w:val="28"/>
          <w:b/>
        </w:rPr>
        <w:t>衡正国际工程咨询有限公司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衡正国际工程咨询有限公司</w:t>
      </w:r>
      <w:r>
        <w:rPr>
          <w:rFonts w:ascii="仿宋_GB2312" w:hAnsi="仿宋_GB2312" w:cs="仿宋_GB2312" w:eastAsia="仿宋_GB2312"/>
        </w:rPr>
        <w:t>（以下简称“代理机构”）受</w:t>
      </w:r>
      <w:r>
        <w:rPr>
          <w:rFonts w:ascii="仿宋_GB2312" w:hAnsi="仿宋_GB2312" w:cs="仿宋_GB2312" w:eastAsia="仿宋_GB2312"/>
        </w:rPr>
        <w:t>略阳县水利局</w:t>
      </w:r>
      <w:r>
        <w:rPr>
          <w:rFonts w:ascii="仿宋_GB2312" w:hAnsi="仿宋_GB2312" w:cs="仿宋_GB2312" w:eastAsia="仿宋_GB2312"/>
        </w:rPr>
        <w:t>委托，拟对</w:t>
      </w:r>
      <w:r>
        <w:rPr>
          <w:rFonts w:ascii="仿宋_GB2312" w:hAnsi="仿宋_GB2312" w:cs="仿宋_GB2312" w:eastAsia="仿宋_GB2312"/>
        </w:rPr>
        <w:t>略阳县21条河流一河一策方案修编项目(二次)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2025-HZZB-HZ-025.1B1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略阳县21条河流一河一策方案修编项目(二次)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针对略阳县 21条河流“一河一策”方案编制及评审。项目工作主要任务包括:根据《一河一策编制指南》要求，需要对青泥河等 21条河的“一河一策”进行新一轮修编及后续相关服务。；2、主要功能或目标:完成略阳县21条河流“一河一策”方案；3、需满足的要求:略阳县 21条河流“一河一策”方案编制及评审。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采购包1（略阳县21条河流一河一策方案修编项目）：属于专门面向中小企业采购。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1、营业执照或相关证明文件：供应商须为独立承担民事责任能力的法人或其 他组织或自然人。其中企业法人应提供有效的 统一社会信用代码的营业执照，事业法人应提 供事业单位法人证、组织机构代码证等证明文 件，其他组织应提供相应的合法证明文件，自 然人提供身份证明文件；</w:t>
      </w:r>
    </w:p>
    <w:p>
      <w:pPr>
        <w:pStyle w:val="null3"/>
      </w:pPr>
      <w:r>
        <w:rPr>
          <w:rFonts w:ascii="仿宋_GB2312" w:hAnsi="仿宋_GB2312" w:cs="仿宋_GB2312" w:eastAsia="仿宋_GB2312"/>
        </w:rPr>
        <w:t>2、法定代表人或单位负责人授权书：供应商应授权合法的人员参加投标全过程，其 中法定代表人直接参加投标的，须出具法定代 表人身份证，并与营业执照上信息一致。法定 代表人授权他人参加投标的，须提供法定代表 人授权委托书。</w:t>
      </w:r>
    </w:p>
    <w:p>
      <w:pPr>
        <w:pStyle w:val="null3"/>
      </w:pPr>
      <w:r>
        <w:rPr>
          <w:rFonts w:ascii="仿宋_GB2312" w:hAnsi="仿宋_GB2312" w:cs="仿宋_GB2312" w:eastAsia="仿宋_GB2312"/>
        </w:rPr>
        <w:t>3、供应商资格承诺函：提供《汉中市政府采购供应商资格承诺函》。 （按投标文件格式填写）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略阳县水利局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略阳县人民政府6楼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丁先生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0916-4822364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衡正国际工程咨询有限公司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汉中市汉台区汉上第一街12号楼 23 层04-05号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0916-8886036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杨晶晶</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18109165798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采购包1：840,000.00元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开户名称：衡正国际工程咨询有限公司汉中分公司</w:t>
            </w:r>
          </w:p>
          <w:p>
            <w:pPr>
              <w:pStyle w:val="null3"/>
            </w:pPr>
            <w:r>
              <w:rPr>
                <w:rFonts w:ascii="仿宋_GB2312" w:hAnsi="仿宋_GB2312" w:cs="仿宋_GB2312" w:eastAsia="仿宋_GB2312"/>
              </w:rPr>
              <w:t>开户银行：中国工商银行股份有限公司汉中兴汉路支行</w:t>
            </w:r>
          </w:p>
          <w:p>
            <w:pPr>
              <w:pStyle w:val="null3"/>
            </w:pPr>
            <w:r>
              <w:rPr>
                <w:rFonts w:ascii="仿宋_GB2312" w:hAnsi="仿宋_GB2312" w:cs="仿宋_GB2312" w:eastAsia="仿宋_GB2312"/>
              </w:rPr>
              <w:t>银行账号：2606 0552 0910 0052 851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费管理暂行办法的通知》（计价格〔2002〕1980号）文件及国家发展委下发的《关于降低部分建设项目收费标准规范收费行为等有关问题的通知》〔2011〕534号文件规定标准及采购代理合同约定</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略阳县水利局</w:t>
      </w:r>
      <w:r>
        <w:rPr>
          <w:rFonts w:ascii="仿宋_GB2312" w:hAnsi="仿宋_GB2312" w:cs="仿宋_GB2312" w:eastAsia="仿宋_GB2312"/>
        </w:rPr>
        <w:t>和</w:t>
      </w:r>
      <w:r>
        <w:rPr>
          <w:rFonts w:ascii="仿宋_GB2312" w:hAnsi="仿宋_GB2312" w:cs="仿宋_GB2312" w:eastAsia="仿宋_GB2312"/>
        </w:rPr>
        <w:t>衡正国际工程咨询有限公司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略阳县水利局</w:t>
      </w:r>
      <w:r>
        <w:rPr>
          <w:rFonts w:ascii="仿宋_GB2312" w:hAnsi="仿宋_GB2312" w:cs="仿宋_GB2312" w:eastAsia="仿宋_GB2312"/>
        </w:rPr>
        <w:t>负责解释。除上述磋商文件内容，其他内容由</w:t>
      </w:r>
      <w:r>
        <w:rPr>
          <w:rFonts w:ascii="仿宋_GB2312" w:hAnsi="仿宋_GB2312" w:cs="仿宋_GB2312" w:eastAsia="仿宋_GB2312"/>
        </w:rPr>
        <w:t>衡正国际工程咨询有限公司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略阳县水利局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衡正国际工程咨询有限公司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符合国家、省、市相关的法规和规章以及采购人的要求。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衡正国际工程咨询有限公司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衡正国际工程咨询有限公司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衡正国际工程咨询有限公司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联系人：闫女士</w:t>
      </w:r>
    </w:p>
    <w:p>
      <w:pPr>
        <w:pStyle w:val="null3"/>
      </w:pPr>
      <w:r>
        <w:rPr>
          <w:rFonts w:ascii="仿宋_GB2312" w:hAnsi="仿宋_GB2312" w:cs="仿宋_GB2312" w:eastAsia="仿宋_GB2312"/>
        </w:rPr>
        <w:t>联系电话：0916-8886036</w:t>
      </w:r>
    </w:p>
    <w:p>
      <w:pPr>
        <w:pStyle w:val="null3"/>
      </w:pPr>
      <w:r>
        <w:rPr>
          <w:rFonts w:ascii="仿宋_GB2312" w:hAnsi="仿宋_GB2312" w:cs="仿宋_GB2312" w:eastAsia="仿宋_GB2312"/>
        </w:rPr>
        <w:t>地址：汉中市汉台区汉上第一街12号楼 23 层04-05号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4"/>
        </w:rPr>
        <w:t>1、针对略阳县 21条河流“一河一策”方案编制及评审。项目工作主要任务包括:根据《一河一策编制指南》要求，需要对青泥河等 21条河的“一河一策”进行新一轮修编及后续相关服务。；2、</w:t>
      </w:r>
      <w:r>
        <w:rPr>
          <w:rFonts w:ascii="仿宋_GB2312" w:hAnsi="仿宋_GB2312" w:cs="仿宋_GB2312" w:eastAsia="仿宋_GB2312"/>
          <w:sz w:val="24"/>
        </w:rPr>
        <w:t>主要功能或目标</w:t>
      </w:r>
      <w:r>
        <w:rPr>
          <w:rFonts w:ascii="仿宋_GB2312" w:hAnsi="仿宋_GB2312" w:cs="仿宋_GB2312" w:eastAsia="仿宋_GB2312"/>
          <w:sz w:val="24"/>
        </w:rPr>
        <w:t>:完成略阳县21条河流“一河一策”方案</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需满足的要求</w:t>
      </w:r>
      <w:r>
        <w:rPr>
          <w:rFonts w:ascii="仿宋_GB2312" w:hAnsi="仿宋_GB2312" w:cs="仿宋_GB2312" w:eastAsia="仿宋_GB2312"/>
          <w:sz w:val="24"/>
        </w:rPr>
        <w:t>:略阳县 21条河流“一河一策”方案编制及评审。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840,000.00</w:t>
      </w:r>
    </w:p>
    <w:p>
      <w:pPr>
        <w:pStyle w:val="null3"/>
      </w:pPr>
      <w:r>
        <w:rPr>
          <w:rFonts w:ascii="仿宋_GB2312" w:hAnsi="仿宋_GB2312" w:cs="仿宋_GB2312" w:eastAsia="仿宋_GB2312"/>
        </w:rPr>
        <w:t>采购包最高限价（元）: 840,000.00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略阳县 21 条河流“一河一策”方案修编项目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840,000.00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标的名称：略阳县 21 条河流“一河一策”方案修编项目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b/>
              </w:rPr>
              <w:t>一、项目基本情况</w:t>
            </w:r>
          </w:p>
          <w:p>
            <w:pPr>
              <w:pStyle w:val="null3"/>
            </w:pPr>
            <w:r>
              <w:rPr>
                <w:rFonts w:ascii="仿宋_GB2312" w:hAnsi="仿宋_GB2312" w:cs="仿宋_GB2312" w:eastAsia="仿宋_GB2312"/>
                <w:sz w:val="24"/>
              </w:rPr>
              <w:t>1、</w:t>
            </w:r>
            <w:r>
              <w:rPr>
                <w:rFonts w:ascii="仿宋_GB2312" w:hAnsi="仿宋_GB2312" w:cs="仿宋_GB2312" w:eastAsia="仿宋_GB2312"/>
                <w:sz w:val="24"/>
              </w:rPr>
              <w:t>项目名称：</w:t>
            </w:r>
            <w:r>
              <w:rPr>
                <w:rFonts w:ascii="仿宋_GB2312" w:hAnsi="仿宋_GB2312" w:cs="仿宋_GB2312" w:eastAsia="仿宋_GB2312"/>
                <w:sz w:val="24"/>
              </w:rPr>
              <w:t>略阳县</w:t>
            </w:r>
            <w:r>
              <w:rPr>
                <w:rFonts w:ascii="仿宋_GB2312" w:hAnsi="仿宋_GB2312" w:cs="仿宋_GB2312" w:eastAsia="仿宋_GB2312"/>
                <w:sz w:val="24"/>
              </w:rPr>
              <w:t>21 条河流“一河一策”方案修编项目</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成果交付期：</w:t>
            </w:r>
            <w:r>
              <w:rPr>
                <w:rFonts w:ascii="仿宋_GB2312" w:hAnsi="仿宋_GB2312" w:cs="仿宋_GB2312" w:eastAsia="仿宋_GB2312"/>
                <w:sz w:val="24"/>
              </w:rPr>
              <w:t>合同签订之日起</w:t>
            </w:r>
            <w:r>
              <w:rPr>
                <w:rFonts w:ascii="仿宋_GB2312" w:hAnsi="仿宋_GB2312" w:cs="仿宋_GB2312" w:eastAsia="仿宋_GB2312"/>
                <w:sz w:val="24"/>
              </w:rPr>
              <w:t>45日历天</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、质量要求：满足现行行业技术规范要求及采购人要求。</w:t>
            </w:r>
          </w:p>
          <w:p>
            <w:pPr>
              <w:pStyle w:val="null3"/>
              <w:jc w:val="both"/>
            </w:pPr>
            <w:r>
              <w:rPr>
                <w:rFonts w:ascii="仿宋_GB2312" w:hAnsi="仿宋_GB2312" w:cs="仿宋_GB2312" w:eastAsia="仿宋_GB2312"/>
                <w:sz w:val="24"/>
                <w:b/>
              </w:rPr>
              <w:t>二、服务内容及要求</w:t>
            </w:r>
          </w:p>
          <w:p>
            <w:pPr>
              <w:pStyle w:val="null3"/>
            </w:pPr>
            <w:r>
              <w:rPr>
                <w:rFonts w:ascii="仿宋_GB2312" w:hAnsi="仿宋_GB2312" w:cs="仿宋_GB2312" w:eastAsia="仿宋_GB2312"/>
                <w:sz w:val="24"/>
              </w:rPr>
              <w:t>针对略阳县</w:t>
            </w:r>
            <w:r>
              <w:rPr>
                <w:rFonts w:ascii="仿宋_GB2312" w:hAnsi="仿宋_GB2312" w:cs="仿宋_GB2312" w:eastAsia="仿宋_GB2312"/>
                <w:sz w:val="24"/>
              </w:rPr>
              <w:t>21条河流“一河一策”方案编制及评审。项目工作主要任务包括:根据《一河一策编制指南》要求，需要对青泥河等 21条河的“一河一策”进行新一轮修编及后续相关服务。</w:t>
            </w:r>
          </w:p>
          <w:p>
            <w:pPr>
              <w:pStyle w:val="null3"/>
            </w:pPr>
            <w:r>
              <w:rPr>
                <w:rFonts w:ascii="仿宋_GB2312" w:hAnsi="仿宋_GB2312" w:cs="仿宋_GB2312" w:eastAsia="仿宋_GB2312"/>
                <w:sz w:val="24"/>
                <w:b/>
              </w:rPr>
              <w:t>三、成果文件份数要求</w:t>
            </w:r>
          </w:p>
          <w:p>
            <w:pPr>
              <w:pStyle w:val="null3"/>
            </w:pPr>
            <w:r>
              <w:rPr>
                <w:rFonts w:ascii="仿宋_GB2312" w:hAnsi="仿宋_GB2312" w:cs="仿宋_GB2312" w:eastAsia="仿宋_GB2312"/>
                <w:sz w:val="24"/>
              </w:rPr>
              <w:t>1、成果文件纸质版（一式十份）</w:t>
            </w:r>
          </w:p>
          <w:p>
            <w:pPr>
              <w:pStyle w:val="null3"/>
            </w:pPr>
            <w:r>
              <w:rPr>
                <w:rFonts w:ascii="仿宋_GB2312" w:hAnsi="仿宋_GB2312" w:cs="仿宋_GB2312" w:eastAsia="仿宋_GB2312"/>
                <w:sz w:val="24"/>
              </w:rPr>
              <w:t>纸质版版成果文件按</w:t>
            </w:r>
            <w:r>
              <w:rPr>
                <w:rFonts w:ascii="仿宋_GB2312" w:hAnsi="仿宋_GB2312" w:cs="仿宋_GB2312" w:eastAsia="仿宋_GB2312"/>
                <w:sz w:val="24"/>
              </w:rPr>
              <w:t>A4规格印制；若有图纸，图纸一律按A3规格印制；所有纸质成果需装订成册。</w:t>
            </w:r>
          </w:p>
          <w:p>
            <w:pPr>
              <w:pStyle w:val="null3"/>
            </w:pPr>
            <w:r>
              <w:rPr>
                <w:rFonts w:ascii="仿宋_GB2312" w:hAnsi="仿宋_GB2312" w:cs="仿宋_GB2312" w:eastAsia="仿宋_GB2312"/>
                <w:sz w:val="24"/>
              </w:rPr>
              <w:t>2、电子文件（一份）</w:t>
            </w:r>
          </w:p>
          <w:p>
            <w:pPr>
              <w:pStyle w:val="null3"/>
              <w:jc w:val="both"/>
            </w:pPr>
            <w:r>
              <w:rPr>
                <w:rFonts w:ascii="仿宋_GB2312" w:hAnsi="仿宋_GB2312" w:cs="仿宋_GB2312" w:eastAsia="仿宋_GB2312"/>
                <w:sz w:val="24"/>
              </w:rPr>
              <w:t>提供完整的编制资料电子文件一套。</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满足本项目所需人员配置要求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满足本项目所需设施设备要求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成果交付期：合同签订之日起45日历天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满足国家相关技术规范及有关政策的要求，通过采购人组织的成果审查验收。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成果提交验收合格后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一、供应商缴纳磋商保证金须备注项目名称、项目编号，并将缴纳凭证提交至代理公司换取保证金缴纳收据证明； 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（2）具有一定的可实施性：方案工作流程基本完善，能切合本项实际情况，可实施性较强。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（4）缺乏可实施性：方案内容空洞，工作流程不完善，实施标准、实施质量不利于采购需求的实现，存在逻辑漏洞、常识错误或合理性差。 3、方案内容有缺项、漏项、未提供的得0分。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供应商应提供非联合体投标书面声明；</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非联合体投标书面声明.docx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营业执照或相关证明文件</w:t>
            </w:r>
          </w:p>
        </w:tc>
        <w:tc>
          <w:tcPr>
            <w:tcW w:type="dxa" w:w="3322"/>
          </w:tcPr>
          <w:p>
            <w:pPr>
              <w:pStyle w:val="null3"/>
            </w:pPr>
            <w:r>
              <w:rPr>
                <w:rFonts w:ascii="仿宋_GB2312" w:hAnsi="仿宋_GB2312" w:cs="仿宋_GB2312" w:eastAsia="仿宋_GB2312"/>
              </w:rPr>
              <w:t>供应商须为独立承担民事责任能力的法人或其 他组织或自然人。其中企业法人应提供有效的 统一社会信用代码的营业执照，事业法人应提 供事业单位法人证、组织机构代码证等证明文 件，其他组织应提供相应的合法证明文件，自 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w:t>
            </w:r>
          </w:p>
        </w:tc>
        <w:tc>
          <w:tcPr>
            <w:tcW w:type="dxa" w:w="3322"/>
          </w:tcPr>
          <w:p>
            <w:pPr>
              <w:pStyle w:val="null3"/>
            </w:pPr>
            <w:r>
              <w:rPr>
                <w:rFonts w:ascii="仿宋_GB2312" w:hAnsi="仿宋_GB2312" w:cs="仿宋_GB2312" w:eastAsia="仿宋_GB2312"/>
              </w:rPr>
              <w:t>供应商应授权合法的人员参加投标全过程，其 中法定代表人直接参加投标的，须出具法定代 表人身份证，并与营业执照上信息一致。法定 代表人授权他人参加投标的，须提供法定代表 人授权委托书。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提供《汉中市政府采购供应商资格承诺函》。 （按投标文件格式填写）</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成果交付期</w:t>
            </w:r>
          </w:p>
        </w:tc>
        <w:tc>
          <w:tcPr>
            <w:tcW w:type="dxa" w:w="3322"/>
          </w:tcPr>
          <w:p>
            <w:pPr>
              <w:pStyle w:val="null3"/>
            </w:pPr>
            <w:r>
              <w:rPr>
                <w:rFonts w:ascii="仿宋_GB2312" w:hAnsi="仿宋_GB2312" w:cs="仿宋_GB2312" w:eastAsia="仿宋_GB2312"/>
              </w:rPr>
              <w:t>合同签订之日起45日历天</w:t>
            </w:r>
          </w:p>
        </w:tc>
        <w:tc>
          <w:tcPr>
            <w:tcW w:type="dxa" w:w="1661"/>
          </w:tcPr>
          <w:p>
            <w:pPr>
              <w:pStyle w:val="null3"/>
            </w:pPr>
            <w:r>
              <w:rPr>
                <w:rFonts w:ascii="仿宋_GB2312" w:hAnsi="仿宋_GB2312" w:cs="仿宋_GB2312" w:eastAsia="仿宋_GB2312"/>
              </w:rPr>
              <w:t>商务应答表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 且报价不超过采购预算金额或最高限价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应符合招标文件中的规定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响应文件的签署盖章符合招标文件要求</w:t>
            </w:r>
          </w:p>
        </w:tc>
        <w:tc>
          <w:tcPr>
            <w:tcW w:type="dxa" w:w="1661"/>
          </w:tcPr>
          <w:p>
            <w:pPr>
              <w:pStyle w:val="null3"/>
            </w:pPr>
            <w:r>
              <w:rPr>
                <w:rFonts w:ascii="仿宋_GB2312" w:hAnsi="仿宋_GB2312" w:cs="仿宋_GB2312" w:eastAsia="仿宋_GB2312"/>
              </w:rPr>
              <w:t>服务内容及服务邀请应答表 中小企业声明函 商务应答表 其他证明材料.docx 响应文件封面 非联合体投标书面声明.docx 供应商应提交的相关资格证明材料.docx 残疾人福利性单位声明函 服务方案 标的清单 供应商需补充的其他内容.docx 响应函 监狱企业的证明文件 投标保证金.docx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响应文件内容符合招标文件要求</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投标人应按招标文件约定交纳投标保证金</w:t>
            </w:r>
          </w:p>
        </w:tc>
        <w:tc>
          <w:tcPr>
            <w:tcW w:type="dxa" w:w="1661"/>
          </w:tcPr>
          <w:p>
            <w:pPr>
              <w:pStyle w:val="null3"/>
            </w:pPr>
            <w:r>
              <w:rPr>
                <w:rFonts w:ascii="仿宋_GB2312" w:hAnsi="仿宋_GB2312" w:cs="仿宋_GB2312" w:eastAsia="仿宋_GB2312"/>
              </w:rPr>
              <w:t>投标保证金.docx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提供2022年1月1日至今类似项目业绩，每提供一个得2分，满分10分。 评审依据：以响应文件中提供合同或中标通知书复印件加盖鲜章为准，未提供不得分。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其他证明材料.docx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1、拟派项目负责人具有水利相关专业中级技术职称资格的得2分,具有水利相关专业高级技术职称资格的得3分; 评审依据：以供应商提供加盖公章的项目负责人职称证书复印件、身份证复印件及劳务合同为准，未提供不得分。 2、项目负责人2022年1月1日至今承担过类似项目业绩的，每提供1个得2分，本项最高得分2分。评审依据：以供应商提供加盖公章的项目合同或中标通知书复印件为准，未提供不得分。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其他证明材料.docx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拟派项目组成人员除项目负责人外具有水利相关专业中级及以上技术职称资格的，每配备1人得1分，最高得10分。 评审依据：以供应商提供加盖公章的人员职称证书复印件、身份证复印件及劳务合同为准，未提供不得分。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其他证明材料.docx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针对本项目提供完整、合理、详细的实施方案，内容包括：①项目的规划编制实施方案；②服务措施；③工作进度安排。 1、完整性：方案内容完整全面，对上述各项内容均有详细描述及说明得3分；每缺1项扣1分。 2、针对性：针对性强，得6分；具有一定的针对性，得4分；针对性一般，得2分；缺乏针对性，得1分。 3、可实施性：可实施性强，得6分；具有一定的可实施性，得4分；可实施性一般，得2分；缺乏可实施性，得1分。 4、未提供的不得分。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针对本项目提供完整、合理、详细的服务方案，内容包括：①项目背景、现状、规划编制条件的认识和了解、分析与研究；②工作目标；③工作方法；④组织方案。 1、完整性：方案内容完整全面，对上述各项内容均有详细描述及说明得2分；每缺1项扣0.5分。 2、针对性：针对性强，得4分；具有一定的针对性，得2.5分；针对性一般，得1分；缺乏针对性，得0.5分。 3、可实施性：可实施性强，得4分；具有一定的可实施性，得2.5分；可实施性一般，得1分；缺乏可实施性，得0.5分。 4、未提供的不得分。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针对本项目提供完整、合理、详细质量保证措施，内容包含：①建立质量控制体系；②内控制度：服务质量监督考核办法、奖惩制定、问责机制工作制度完备；③成果有质量保障措施；④成果文件符合验收要求。 1、完整性：方案内容完整全面，对上述各项内容均有详细描述及说明得2分；每缺1项扣0.5分。 2、针对性：针对性强，得4分；具有一定的针对性，得2.5分；针对性一般，得1分；缺乏针对性，得0.5分。 3、可实施性：可实施性强，得4分；具有一定的可实施性，得2.5分；可实施性一般，得1分；缺乏可实施性，得0.5分。 4、未提供的不得分。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针对本项目提供完整、合理、详细进度保证措施，内容包含：①工作进度安排；②项目组织架构；③人员配备分工；④实施过程中的保障措施。 1、完整性：方案内容完整全面，对上述各项内容均有详细描述及说明得2分；每缺1项扣0.5分。 2、针对性：针对性强，得4分；具有一定的针对性，得2.5分；针对性一般，得1分；缺乏针对性，得0.5分。 3、可实施性：可实施性强，得4分；具有一定的可实施性，得2.5分；可实施性一般，得1分；缺乏可实施性，得0.5分。 4、未提供的不得分。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针对本项目建设工作的重点、难点开展分析，内容包含：①重、难点分析及解决思路；②工作现状规划、工作重点方向。 1、完整性：方案内容完整全面，对上述各项内容均有详细描述及说明得1分；每缺1项扣0.5分。 2、针对性：针对性强，得3分；具有一定的针对性，得2分；针对性一般，得1分；缺乏针对性，得0.5分。 3、可实施性：可实施性强，得3分；具有一定的可实施性，得2分；可实施性一般，得1分；缺乏可实施性，得0.5分。 4、未提供的不得分。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评审内容 投标人对本项目提供应急预案，方案内容包含但不限于：①开展服务过程中可能发生突发事件；②针对突发事件制定的应急预案； 评审标准 1、完整性：方案内容完整全面，对上述各项内容均有详细描述及说明得2分；每缺1项扣1分。 2、针对性：针对性强，得3分；具有一定的针对性，得2分；针对性一般，得1分；缺乏针对性，得0.5分。 3、可实施性：可实施性强，得3分；具有一定的可实施性，得2分；可实施性一般，得1分；缺乏可实施性，得0.5分。 4、未提供的不得分。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磋商报价得分=（磋商基准价/最终磋商报价）×价格权值（即15%）×100 （因落实政府采购政策进行价格调整的，以调整后的价格计算评标基准价和磋商报价）</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详见附件：非联合体投标书面声明.docx</w:t>
      </w:r>
    </w:p>
    <w:p>
      <w:pPr>
        <w:pStyle w:val="null3"/>
        <w:ind w:firstLine="960"/>
      </w:pPr>
      <w:r>
        <w:rPr>
          <w:rFonts w:ascii="仿宋_GB2312" w:hAnsi="仿宋_GB2312" w:cs="仿宋_GB2312" w:eastAsia="仿宋_GB2312"/>
        </w:rPr>
        <w:t>详见附件：供应商需补充的其他内容.docx</w:t>
      </w:r>
    </w:p>
    <w:p>
      <w:pPr>
        <w:pStyle w:val="null3"/>
        <w:ind w:firstLine="960"/>
      </w:pPr>
      <w:r>
        <w:rPr>
          <w:rFonts w:ascii="仿宋_GB2312" w:hAnsi="仿宋_GB2312" w:cs="仿宋_GB2312" w:eastAsia="仿宋_GB2312"/>
        </w:rPr>
        <w:t>详见附件：其他证明材料.docx</w:t>
      </w:r>
    </w:p>
    <w:p>
      <w:pPr>
        <w:pStyle w:val="null3"/>
        <w:ind w:firstLine="960"/>
      </w:pPr>
      <w:r>
        <w:rPr>
          <w:rFonts w:ascii="仿宋_GB2312" w:hAnsi="仿宋_GB2312" w:cs="仿宋_GB2312" w:eastAsia="仿宋_GB2312"/>
        </w:rPr>
        <w:t>详见附件：投标保证金.docx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