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版本号：ZCMR-202507120250922001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2025年略阳县白水江镇铁佛寺村醋酿造配套设施采购项目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ZCMR-2025071</w:t>
      </w:r>
      <w:r>
        <w:br/>
      </w:r>
      <w:r>
        <w:br/>
      </w:r>
      <w:r>
        <w:br/>
      </w:r>
    </w:p>
    <w:p>
      <w:pPr>
        <w:pStyle w:val="null3"/>
        <w:jc w:val="center"/>
        <w:outlineLvl w:val="2"/>
      </w:pPr>
      <w:r>
        <w:rPr>
          <w:rFonts w:ascii="仿宋_GB2312" w:hAnsi="仿宋_GB2312" w:cs="仿宋_GB2312" w:eastAsia="仿宋_GB2312"/>
          <w:sz w:val="28"/>
          <w:b/>
        </w:rPr>
        <w:t>略阳县白水江镇人民政府</w:t>
      </w:r>
    </w:p>
    <w:p>
      <w:pPr>
        <w:pStyle w:val="null3"/>
        <w:jc w:val="center"/>
        <w:outlineLvl w:val="2"/>
      </w:pPr>
      <w:r>
        <w:rPr>
          <w:rFonts w:ascii="仿宋_GB2312" w:hAnsi="仿宋_GB2312" w:cs="仿宋_GB2312" w:eastAsia="仿宋_GB2312"/>
          <w:sz w:val="28"/>
          <w:b/>
        </w:rPr>
        <w:t>汉中明瑞项目管理有限公司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汉中明瑞项目管理有限公司</w:t>
      </w:r>
      <w:r>
        <w:rPr>
          <w:rFonts w:ascii="仿宋_GB2312" w:hAnsi="仿宋_GB2312" w:cs="仿宋_GB2312" w:eastAsia="仿宋_GB2312"/>
        </w:rPr>
        <w:t>（以下简称“代理机构”）受</w:t>
      </w:r>
      <w:r>
        <w:rPr>
          <w:rFonts w:ascii="仿宋_GB2312" w:hAnsi="仿宋_GB2312" w:cs="仿宋_GB2312" w:eastAsia="仿宋_GB2312"/>
        </w:rPr>
        <w:t>略阳县白水江镇人民政府</w:t>
      </w:r>
      <w:r>
        <w:rPr>
          <w:rFonts w:ascii="仿宋_GB2312" w:hAnsi="仿宋_GB2312" w:cs="仿宋_GB2312" w:eastAsia="仿宋_GB2312"/>
        </w:rPr>
        <w:t>委托，拟对</w:t>
      </w:r>
      <w:r>
        <w:rPr>
          <w:rFonts w:ascii="仿宋_GB2312" w:hAnsi="仿宋_GB2312" w:cs="仿宋_GB2312" w:eastAsia="仿宋_GB2312"/>
        </w:rPr>
        <w:t>2025年略阳县白水江镇铁佛寺村醋酿造配套设施采购项目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ZCMR-2025071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2025年略阳县白水江镇铁佛寺村醋酿造配套设施采购项目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采购醋酿造配套设施(具体以采购内容为准)供货安装期限30天；质保期 3年。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采购包1（配套设施）：属于专门面向中小企业采购。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略阳县白水江镇人民政府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陕西省汉中市略阳县白水江镇江镇社区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0916-4951002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汉中明瑞项目管理有限公司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汉中市汉台区竹园天玺办公楼11楼（汉台区桥北广场东北角）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15891166664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开户名称：中国建设银行股份有限公司汉中天汉大道支行</w:t>
            </w:r>
          </w:p>
          <w:p>
            <w:pPr>
              <w:pStyle w:val="null3"/>
            </w:pPr>
            <w:r>
              <w:rPr>
                <w:rFonts w:ascii="仿宋_GB2312" w:hAnsi="仿宋_GB2312" w:cs="仿宋_GB2312" w:eastAsia="仿宋_GB2312"/>
              </w:rPr>
              <w:t>开户银行：汉中明瑞项目管理有限公司</w:t>
            </w:r>
          </w:p>
          <w:p>
            <w:pPr>
              <w:pStyle w:val="null3"/>
            </w:pPr>
            <w:r>
              <w:rPr>
                <w:rFonts w:ascii="仿宋_GB2312" w:hAnsi="仿宋_GB2312" w:cs="仿宋_GB2312" w:eastAsia="仿宋_GB2312"/>
              </w:rPr>
              <w:t>银行账号：61050165530000001084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略阳县白水江镇人民政府</w:t>
      </w:r>
      <w:r>
        <w:rPr>
          <w:rFonts w:ascii="仿宋_GB2312" w:hAnsi="仿宋_GB2312" w:cs="仿宋_GB2312" w:eastAsia="仿宋_GB2312"/>
        </w:rPr>
        <w:t>和</w:t>
      </w:r>
      <w:r>
        <w:rPr>
          <w:rFonts w:ascii="仿宋_GB2312" w:hAnsi="仿宋_GB2312" w:cs="仿宋_GB2312" w:eastAsia="仿宋_GB2312"/>
        </w:rPr>
        <w:t>汉中明瑞项目管理有限公司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略阳县白水江镇人民政府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汉中明瑞项目管理有限公司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汉中明瑞项目管理有限公司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联系人：杨先生</w:t>
      </w:r>
    </w:p>
    <w:p>
      <w:pPr>
        <w:pStyle w:val="null3"/>
      </w:pPr>
      <w:r>
        <w:rPr>
          <w:rFonts w:ascii="仿宋_GB2312" w:hAnsi="仿宋_GB2312" w:cs="仿宋_GB2312" w:eastAsia="仿宋_GB2312"/>
        </w:rPr>
        <w:t>联系电话：15891166664</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购买醋酿造配套相关设施采购。（具体以采购内容为准）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购买压力容器罐5个、锅炉一套、喷码机1台、灌装机1 台、过滤罐1台（详见采购清单）等，并配套安装服务。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标的名称：购买压力容器罐5个、锅炉一套、喷码机1台、灌装机1 台、过滤罐1台（详见采购清单）等，并配套安装服务。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7"/>
              <w:gridCol w:w="330"/>
              <w:gridCol w:w="1621"/>
              <w:gridCol w:w="217"/>
              <w:gridCol w:w="226"/>
            </w:tblGrid>
            <w:tr>
              <w:tc>
                <w:tcPr>
                  <w:tcW w:type="dxa" w:w="157"/>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330"/>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设备名称</w:t>
                  </w:r>
                </w:p>
              </w:tc>
              <w:tc>
                <w:tcPr>
                  <w:tcW w:type="dxa" w:w="1621"/>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参数</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226"/>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调配罐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容积2000L,立式，上封头，下锥底，带人孔、呼吸器、搅拌（电机功率≥2Kw）、喷淋清洗、磁翻板显示，上封头及筒体材料厚度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≥3mm,锥底材料厚度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≥4mm,材质SUS304不锈钢。</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高位罐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容积2500L,立式，上封头，下锥底，带人孔、呼吸器、搅拌（电机功率≥2Kw）、喷淋清洗、磁翻板显示，上封头及筒体材料厚度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≥3mm,锥底材料厚度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≥4mm,材质SUS304不锈钢。</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移动搅拌罐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容积500L,立式，上平盖（半死半活盖），下锥底，带直轮、万向轮、手把、人孔、呼吸器、搅拌（电机功率≥1.5Kw）、喷淋清洗、磁翻板显示，罐体材料厚度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≥3mm,材质SUS304不锈钢。</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储存罐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容积5000L,立式，上封头，下锥底，带人孔、呼吸器、喷淋清洗、磁翻板显示，上封头及锥底材料厚度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≥4mm,筒体材料厚度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≥3mm,材质SUS304不锈钢。</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缓冲罐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立式，上封头，下锥底，带人孔、呼吸器、喷淋清洗、磁翻板显示，上封头及筒体材料厚度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≥3mm,锥底材料厚度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≥4mm,材质SUS304不锈钢。</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磁力泵</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型号40CGLB,功率≥2Kw,流量≥10T/h,扬程≥20米，普通电机，过料部件材质S30408。</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物料泵</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型号ZAT10,功率≥2Kw,流量≥10T/h,扬程≥24米，普通电机，2台高温泵（双封），3台常温泵（单封），耐腐蚀机封,过料部件材质S30408。</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物料泵（2相）</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型号ZATD3,功率≥0.75Kw,流量≥3T/h,扬程≥16米，普通电机，所有机封需耐醋酸腐蚀,过料部件材质S30408。</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布袋过滤器</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立式，上下封头，流量≥5m³/h,过滤精度35-100目（可调），壳程材质SUS304，滤袋材质PP，工作压力0.1-0.6MPa,滤袋规格≥</w:t>
                  </w:r>
                  <w:r>
                    <w:rPr>
                      <w:rFonts w:ascii="仿宋_GB2312" w:hAnsi="仿宋_GB2312" w:cs="仿宋_GB2312" w:eastAsia="仿宋_GB2312"/>
                      <w:sz w:val="24"/>
                      <w:color w:val="000000"/>
                    </w:rPr>
                    <w:t>Ф180×h810</w:t>
                  </w:r>
                  <w:r>
                    <w:rPr>
                      <w:rFonts w:ascii="仿宋_GB2312" w:hAnsi="仿宋_GB2312" w:cs="仿宋_GB2312" w:eastAsia="仿宋_GB2312"/>
                      <w:sz w:val="24"/>
                      <w:color w:val="000000"/>
                    </w:rPr>
                    <w:t>。</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油墨喷码机</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不锈钢机箱LED触摸屏,墨路系统，多任务处理，双高压喷印，远程协助，≥IP56防护等级，32位嵌入式ARM结构，系统软硬件智能自检，喷头自动清洗，墨线自动检测，屏幕故障诊断显示，智能报警，工作日志自主生成，USB数据信息导入，支持有线、无线网络，喷头全密封一体化设计，三重防堵，自动日期时间，可变条码二维码，智能字体防伪。</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灭菌罐</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容积600L，立式，上平盖下封头,带加热夹套（导热油加热）、保温、外包、搅拌、支腿、温控仪；内胆材料厚度为</w:t>
                  </w:r>
                  <w:r>
                    <w:rPr>
                      <w:rFonts w:ascii="仿宋_GB2312" w:hAnsi="仿宋_GB2312" w:cs="仿宋_GB2312" w:eastAsia="仿宋_GB2312"/>
                      <w:sz w:val="24"/>
                      <w:color w:val="000000"/>
                    </w:rPr>
                    <w:t>δ</w:t>
                  </w:r>
                  <w:r>
                    <w:rPr>
                      <w:rFonts w:ascii="仿宋_GB2312" w:hAnsi="仿宋_GB2312" w:cs="仿宋_GB2312" w:eastAsia="仿宋_GB2312"/>
                      <w:sz w:val="24"/>
                      <w:color w:val="000000"/>
                    </w:rPr>
                    <w:t>≥4mm，材质S30408不锈钢; 外夹层材料厚度为</w:t>
                  </w:r>
                  <w:r>
                    <w:rPr>
                      <w:rFonts w:ascii="仿宋_GB2312" w:hAnsi="仿宋_GB2312" w:cs="仿宋_GB2312" w:eastAsia="仿宋_GB2312"/>
                      <w:sz w:val="24"/>
                      <w:color w:val="000000"/>
                    </w:rPr>
                    <w:t>δ</w:t>
                  </w:r>
                  <w:r>
                    <w:rPr>
                      <w:rFonts w:ascii="仿宋_GB2312" w:hAnsi="仿宋_GB2312" w:cs="仿宋_GB2312" w:eastAsia="仿宋_GB2312"/>
                      <w:sz w:val="24"/>
                      <w:color w:val="000000"/>
                    </w:rPr>
                    <w:t>≥5mm，材质Q235-B；保温材料为硅酸铝，厚度S≥50mm;外包材料厚度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≥2.0mm，材质S30408不锈钢;斜支腿材料厚度</w:t>
                  </w:r>
                  <w:r>
                    <w:rPr>
                      <w:rFonts w:ascii="仿宋_GB2312" w:hAnsi="仿宋_GB2312" w:cs="仿宋_GB2312" w:eastAsia="仿宋_GB2312"/>
                      <w:sz w:val="24"/>
                      <w:color w:val="000000"/>
                    </w:rPr>
                    <w:t>δ</w:t>
                  </w:r>
                  <w:r>
                    <w:rPr>
                      <w:rFonts w:ascii="仿宋_GB2312" w:hAnsi="仿宋_GB2312" w:cs="仿宋_GB2312" w:eastAsia="仿宋_GB2312"/>
                      <w:sz w:val="24"/>
                      <w:color w:val="000000"/>
                    </w:rPr>
                    <w:t>≥3mm，材质SUS304不锈钢；搅拌功率≥1.5KW，搅拌转速≥40转/分,普通电机，锚式搅拌；电加热总功率≥18Kw;设备工艺管口配齐；设备内表面抛光，外表面亚光处理。（含导热油）</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瓶盖消毒柜</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设备配置：箱体、单门、单车、24盘、电加热器、热风循环风机、保温外包、自动控温装置、仪表等，料盘尺寸（长×宽×高）：640×460×45mm（±5mm），内外材质SUS304不锈钢，符合GMP标准。</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6头三用灌装机</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方瓶、圆瓶、PE瓶三用，≥2000瓶/小时，每瓶灌装量可达500ml，功率≥0.75Kw，标准件。电源三相四线，气压0.6-0.8Pamin。</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压盖机</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≥0.15Kw，电源380V,304不锈钢材质。</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不干胶贴标机</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≥2000瓶/小时，功率≥0.55Kw，组合件。电源380V</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输送动力头</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无极调速，功率0.75Kw,电源380V,标准件。</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输送带</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宽150mm*80mm（±5mm），304不锈钢材质。</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冲瓶机</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54头，产量≥3000瓶/小时，功率≥0.55Kw，电压380V，标准件。</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纯水设备</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系统包含：原水泵、活性碳过滤器、软化过滤器、精密过滤器，高压泵、膜壳、R膜、电控柜、机架、管件及仪表等，配SUS304不锈钢材质1000L自动控制原水罐、纯水罐各1个</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化验设备</w:t>
                  </w:r>
                </w:p>
              </w:tc>
              <w:tc>
                <w:tcPr>
                  <w:tcW w:type="dxa" w:w="16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分析天平1台；25ml碱式滴定管2个；铁架台1套；蝴蝶夹1个；超净工作台1台；280A高压灭菌锅1台；二孔水浴锅1台；恒温培养箱1台；酒精灯1个；电炉1个；90mm培养皿50个；试管20个；10ml移液管5个；50ml具塞比色管12个；玻璃棒2个；500ml烧杯5个；取样勺1组；100*100称量纸1包；5ml刻度吸管10个；10ml刻度吸管10个；25g酚酞1瓶；消毒液1瓶；500ml氢氧化钠标液1瓶；250g平板计数琼脂1瓶；250g结晶紫中性红胆盐琼脂1瓶；250g煌绿乳糖胆盐1瓶；磷酸盐缓冲液1套；滤纸1盒；75mm漏斗2个；250ml锥形瓶10个；电热板1块；干燥器1个；臭氧发生器1个；500ml容量瓶2个；干燥剂2瓶；试管架1个；放大镜1个；PHS-25酸度计1台；电子天平2台；洗耳球1个。</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批</w:t>
                  </w:r>
                </w:p>
              </w:tc>
            </w:tr>
            <w:tr>
              <w:tc>
                <w:tcPr>
                  <w:tcW w:type="dxa" w:w="255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注：电控、电线、电缆、桥架及安装业主自备。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供货安装期限30天；质保期 3年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略阳县白水江镇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中标签订合同后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项目供货安装进度达到80%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控股承诺.pdf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投标文件是否按磋商文件要求签署、盖章</w:t>
            </w:r>
          </w:p>
        </w:tc>
        <w:tc>
          <w:tcPr>
            <w:tcW w:type="dxa" w:w="3322"/>
          </w:tcPr>
          <w:p>
            <w:pPr>
              <w:pStyle w:val="null3"/>
            </w:pPr>
            <w:r>
              <w:rPr>
                <w:rFonts w:ascii="仿宋_GB2312" w:hAnsi="仿宋_GB2312" w:cs="仿宋_GB2312" w:eastAsia="仿宋_GB2312"/>
              </w:rPr>
              <w:t>应按照磋商文件要求签署、盖章</w:t>
            </w:r>
          </w:p>
        </w:tc>
        <w:tc>
          <w:tcPr>
            <w:tcW w:type="dxa" w:w="1661"/>
          </w:tcPr>
          <w:p>
            <w:pPr>
              <w:pStyle w:val="null3"/>
            </w:pPr>
            <w:r>
              <w:rPr>
                <w:rFonts w:ascii="仿宋_GB2312" w:hAnsi="仿宋_GB2312" w:cs="仿宋_GB2312" w:eastAsia="仿宋_GB2312"/>
              </w:rPr>
              <w:t>售后服务方案.docx 业绩一览表.docx 中小企业声明函 商务应答表 报价表 备品配件.docx 质量保证.docx 风险降低保障方案.docx 响应文件封面 产品技术参数表 汉中市政府采购供应商资格承诺函.pdf 控股承诺.pdf 供应商应提交的相关资格证明材料.docx 残疾人福利性单位声明函 保证金.pdf 标的清单 实施方案.docx 响应函 实施进度.docx 法定代表人证明书及授权委托书.pdf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供应商提供2022年至今完成的类似业绩证明，每提供一份得2.5分，最高得5.0分； 注：业绩须是投标供应商完成的类似项目，以成交通知书或协议书（合同）原件或复印件加盖公章为准。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根据供应商提供的针对本项目特点的售后服务进行综合评分。方案完善、科学合理，针对性强、服务承诺明确，计8.1-10分，方案较完整、合理可行、特点和承诺不明确，计5.1-8分，方案不合理，计1-5分，未提供不计分。 2、免费为使用单位培训操作维护人员，并作出培训内容、方式及计划0-5分。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投标产品的技术参数、配置和功能需求及投标产品技术参数偏离表等； 完全响应招标文件要求，满足采购需求、技术参数没有负偏离，计基本分10分；参数正偏离每项加1分，加至15分为止；参数负偏离每项扣1分，扣完为止。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的供货、安装调试、验收组织等方面制订具体的实施方案，做出合理计划及制订工作保障措施。方案完整、科学合理、操作性强，计7.1-10分；方案较完整，工作目标不明确、工作保障措施不到位，4.1-7分；方案可执行性差，计1.0-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项目总体进度计划安排具有合理性、先进性、可靠性和安全性。总体进度充分满足招标文件要求计7.1-10分；总体进度基本满足招标文件要求计4.1-7分；总体进度计划存在缺漏的计1-4分。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设备易损件,备品配件及零配件有保障,提供具体方案及报价表。种类齐全、详细、充分，计3.1-5分；种类较完整，计2.1-3分，种类缺少计1-2分，未提供不计分。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备品配件.docx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风险降低保障方案</w:t>
            </w:r>
          </w:p>
        </w:tc>
        <w:tc>
          <w:tcPr>
            <w:tcW w:type="dxa" w:w="2492"/>
          </w:tcPr>
          <w:p>
            <w:pPr>
              <w:pStyle w:val="null3"/>
            </w:pPr>
            <w:r>
              <w:rPr>
                <w:rFonts w:ascii="仿宋_GB2312" w:hAnsi="仿宋_GB2312" w:cs="仿宋_GB2312" w:eastAsia="仿宋_GB2312"/>
              </w:rPr>
              <w:t>投标人针对项目实施现场了解及熟悉情况，确保项目能够顺利实施，降低项目风险性，提供相关证明材料及说明。方案充分满足磋商文件要求计4.1-5分；方案基本满足招标文件要求计2.1-4分；方案存在缺漏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风险降低保障方案.docx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所投主要产品的合法来源渠道和生产厂家实力等与产品质量相关的证明材料进行综合比较赋分。合法来源渠道和生产厂家实力证明等材料种类齐全、详细、充分，计3.1-5分；合法来源渠道和生产厂家实力等证明材料较完整，计2.1-3分，一般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3、不享有政策优惠条件的供应商报价得分=（评审基准价/报价）×30 ；4、全部符合政策优惠条件的磋商供应商报价得分=[评审基准价/报价*(1-10%)]×30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详见附件：实施进度.docx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详见附件：风险降低保障方案.docx</w:t>
      </w:r>
    </w:p>
    <w:p>
      <w:pPr>
        <w:pStyle w:val="null3"/>
        <w:ind w:firstLine="960"/>
      </w:pPr>
      <w:r>
        <w:rPr>
          <w:rFonts w:ascii="仿宋_GB2312" w:hAnsi="仿宋_GB2312" w:cs="仿宋_GB2312" w:eastAsia="仿宋_GB2312"/>
        </w:rPr>
        <w:t>详见附件：备品配件.docx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