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版本号：JQZBX2025-9-1220250913001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略阳县2025年度略阳县乐素河镇石瓮子村食用菌建设项目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JQZBX2025-9-12</w:t>
      </w:r>
      <w:r>
        <w:br/>
      </w:r>
      <w:r>
        <w:br/>
      </w:r>
      <w:r>
        <w:br/>
      </w:r>
    </w:p>
    <w:p>
      <w:pPr>
        <w:pStyle w:val="null3"/>
        <w:jc w:val="center"/>
        <w:outlineLvl w:val="2"/>
      </w:pPr>
      <w:r>
        <w:rPr>
          <w:rFonts w:ascii="仿宋_GB2312" w:hAnsi="仿宋_GB2312" w:cs="仿宋_GB2312" w:eastAsia="仿宋_GB2312"/>
          <w:sz w:val="28"/>
          <w:b/>
        </w:rPr>
        <w:t>略阳县乐素河镇人民政府</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略阳县乐素河镇人民政府</w:t>
      </w:r>
      <w:r>
        <w:rPr>
          <w:rFonts w:ascii="仿宋_GB2312" w:hAnsi="仿宋_GB2312" w:cs="仿宋_GB2312" w:eastAsia="仿宋_GB2312"/>
        </w:rPr>
        <w:t>委托，拟对</w:t>
      </w:r>
      <w:r>
        <w:rPr>
          <w:rFonts w:ascii="仿宋_GB2312" w:hAnsi="仿宋_GB2312" w:cs="仿宋_GB2312" w:eastAsia="仿宋_GB2312"/>
        </w:rPr>
        <w:t>略阳县2025年度略阳县乐素河镇石瓮子村食用菌建设项目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JQZBX2025-9-12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略阳县2025年度略阳县乐素河镇石瓮子村食用菌建设项目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为2025年度略阳县乐素河镇石瓮子村食用菌建设项目，建设内容为新建钢结构生产车间738.14m2，新建生产附属用房141.29m2，新建食用菌种植大3840.22m2，配套卫生间及室外土石方排水沟等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采购包1（略阳县2025年度略阳县乐素河镇石瓮子村食用菌建设项目）：属于专门面向中小企业采购。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1、统一社会信用代码营业执照或事业单位法人证书：供应商具有独立承担民事责任能力的法人、其他组织或自然人，提供合法有效的统一社会信用代码营业执照或事业单位法人证书（自然人应提供身份证明）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2、法定代表人授权：供应商应授权合法的人员参加投标全过程，其中法定代表人直接参加投标的，须出具法人身份证，法定代表人授权代表参加投标的，须出具法定代表人授权书及授权代表身份证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3、投标保证金：保证金缴纳凭证（截图加盖公章）和采购代理机构开具的收款收据</w:t>
      </w:r>
    </w:p>
    <w:p>
      <w:pPr>
        <w:pStyle w:val="null3"/>
      </w:pPr>
      <w:r>
        <w:rPr>
          <w:rFonts w:ascii="仿宋_GB2312" w:hAnsi="仿宋_GB2312" w:cs="仿宋_GB2312" w:eastAsia="仿宋_GB2312"/>
        </w:rPr>
        <w:t>4、关联关系：本项目不接受联合体投标，单位负责人为同一人或者存在控股、管理关系的不同单位不得同时参加需提供书面声明</w:t>
      </w:r>
    </w:p>
    <w:p>
      <w:pPr>
        <w:pStyle w:val="null3"/>
      </w:pPr>
      <w:r>
        <w:rPr>
          <w:rFonts w:ascii="仿宋_GB2312" w:hAnsi="仿宋_GB2312" w:cs="仿宋_GB2312" w:eastAsia="仿宋_GB2312"/>
        </w:rPr>
        <w:t>5、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p>
      <w:pPr>
        <w:pStyle w:val="null3"/>
      </w:pPr>
      <w:r>
        <w:rPr>
          <w:rFonts w:ascii="仿宋_GB2312" w:hAnsi="仿宋_GB2312" w:cs="仿宋_GB2312" w:eastAsia="仿宋_GB2312"/>
        </w:rPr>
        <w:t>6、财务会计制度、依法缴纳税收和社会保障资金的良好记录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7、供应商资质要求：供应商具有建筑工程施工总承包三级（含三级）以上资质；且具有有效的安全生产许可证</w:t>
      </w:r>
    </w:p>
    <w:p>
      <w:pPr>
        <w:pStyle w:val="null3"/>
      </w:pPr>
      <w:r>
        <w:rPr>
          <w:rFonts w:ascii="仿宋_GB2312" w:hAnsi="仿宋_GB2312" w:cs="仿宋_GB2312" w:eastAsia="仿宋_GB2312"/>
        </w:rPr>
        <w:t>8、供应商拟派项目经理要求：供应商拟派项目经理需具备建筑工程专业二级（含二级）及以上建造师资格，具备有效的安全生产考核合格证（建安B证），且无在建项目（以承诺书为准）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略阳县乐素河镇人民政府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略阳县乐素河镇人民政府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13484950797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汉中市汉台区财富立方写字楼7号14楼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13700266631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采购包1：2,399,836.11元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开户名称：泾清项目管理有限公司汉台分公司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银行账号：103688816695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招标代理服务费公布方式：代理服务费金额将在成交结果公告中明确，成交单位在领取成交通知书前，须向采购代理机构一次性支付招标代理服务费。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略阳县乐素河镇人民政府</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略阳县乐素河镇人民政府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略阳县乐素河镇人民政府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联系电话：13700266631</w:t>
      </w:r>
    </w:p>
    <w:p>
      <w:pPr>
        <w:pStyle w:val="null3"/>
      </w:pPr>
      <w:r>
        <w:rPr>
          <w:rFonts w:ascii="仿宋_GB2312" w:hAnsi="仿宋_GB2312" w:cs="仿宋_GB2312" w:eastAsia="仿宋_GB2312"/>
        </w:rPr>
        <w:t>地址：汉中市汉台区财富立方写字楼7号14楼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2,399,836.11</w:t>
      </w:r>
    </w:p>
    <w:p>
      <w:pPr>
        <w:pStyle w:val="null3"/>
      </w:pPr>
      <w:r>
        <w:rPr>
          <w:rFonts w:ascii="仿宋_GB2312" w:hAnsi="仿宋_GB2312" w:cs="仿宋_GB2312" w:eastAsia="仿宋_GB2312"/>
        </w:rPr>
        <w:t>采购包最高限价（元）: 2,399,836.11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略阳县2025年度略阳县乐素河镇石瓮子村食用菌建设项目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2,399,836.11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标的名称：略阳县2025年度略阳县乐素河镇石瓮子村食用菌建设项目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该工程为2025年度略阳县乐素河镇石瓮子村食用菌建设项目，建设内容为新建钢结构生产车间738.14m2，新建生产附属用房141.29m2，新建食用菌种植大棚3840.22m2，配套卫生间及室外土石方排水沟等内容，具体详见工程量清单。</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1、与建设工程有关的标准、技术规范；</w:t>
            </w:r>
            <w:r>
              <w:br/>
            </w:r>
            <w:r>
              <w:rPr>
                <w:rFonts w:ascii="仿宋_GB2312" w:hAnsi="仿宋_GB2312" w:cs="仿宋_GB2312" w:eastAsia="仿宋_GB2312"/>
              </w:rPr>
              <w:t xml:space="preserve"> 2、《建设工程工程量清单计价标准2025》；</w:t>
            </w:r>
            <w:r>
              <w:br/>
            </w:r>
            <w:r>
              <w:rPr>
                <w:rFonts w:ascii="仿宋_GB2312" w:hAnsi="仿宋_GB2312" w:cs="仿宋_GB2312" w:eastAsia="仿宋_GB2312"/>
              </w:rPr>
              <w:t xml:space="preserve"> 3、《陕西省通用安装工程基价表》（2025）、《陕西省房屋建筑与装饰工程基价表》（2025）、《陕西省市政工程基价表》（2025）、《陕西省园林绿化工程基价表》（2025）、《陕西省城市地下综合管廊工程基价表》（2025）、《陕西省绿色建筑工程基价表》（2025）；</w:t>
            </w:r>
            <w:r>
              <w:br/>
            </w:r>
            <w:r>
              <w:rPr>
                <w:rFonts w:ascii="仿宋_GB2312" w:hAnsi="仿宋_GB2312" w:cs="仿宋_GB2312" w:eastAsia="仿宋_GB2312"/>
              </w:rPr>
              <w:t xml:space="preserve"> 4、《陕西省通用安装工程消耗量定额（2025）》、《陕西省市政工程消耗量定额（2025）》、《陕西省城市地下综合管廊工程消耗量定额（2025）》、《陕西省房屋建筑与装饰工程消耗量定额（2025）》、《陕西省园林绿化工程消耗量定额（2025）》、《陕西省绿色人建筑工程消耗量定额（2025）》；</w:t>
            </w:r>
            <w:r>
              <w:br/>
            </w:r>
            <w:r>
              <w:rPr>
                <w:rFonts w:ascii="仿宋_GB2312" w:hAnsi="仿宋_GB2312" w:cs="仿宋_GB2312" w:eastAsia="仿宋_GB2312"/>
              </w:rPr>
              <w:t xml:space="preserve"> 5、陕西省建设工程施工机械台班费用定额（2025）、陕西省建设工程施工仪器仪表台班费用定额（2025）；</w:t>
            </w:r>
            <w:r>
              <w:br/>
            </w:r>
            <w:r>
              <w:rPr>
                <w:rFonts w:ascii="仿宋_GB2312" w:hAnsi="仿宋_GB2312" w:cs="仿宋_GB2312" w:eastAsia="仿宋_GB2312"/>
              </w:rPr>
              <w:t xml:space="preserve"> 6、2025年3月陕西省住房和建设社厅《陕西省建设工程费用规则》；</w:t>
            </w:r>
            <w:r>
              <w:br/>
            </w:r>
            <w:r>
              <w:rPr>
                <w:rFonts w:ascii="仿宋_GB2312" w:hAnsi="仿宋_GB2312" w:cs="仿宋_GB2312" w:eastAsia="仿宋_GB2312"/>
              </w:rPr>
              <w:t xml:space="preserve"> 7、陕西省住房和城乡建设厅关于印发2025年陕西省建设工程费用规则等计价依据的通知，2025年3月1日；</w:t>
            </w:r>
            <w:r>
              <w:br/>
            </w:r>
            <w:r>
              <w:rPr>
                <w:rFonts w:ascii="仿宋_GB2312" w:hAnsi="仿宋_GB2312" w:cs="仿宋_GB2312" w:eastAsia="仿宋_GB2312"/>
              </w:rPr>
              <w:t xml:space="preserve"> 8、汉中市汉台区住房和城乡建设局“关于转发《陕西省住房和城乡建设厅关于印发2025陕西省建设工程费用规则等计价依据的通知》的通知”，2025年4月22日；</w:t>
            </w:r>
            <w:r>
              <w:br/>
            </w:r>
            <w:r>
              <w:rPr>
                <w:rFonts w:ascii="仿宋_GB2312" w:hAnsi="仿宋_GB2312" w:cs="仿宋_GB2312" w:eastAsia="仿宋_GB2312"/>
              </w:rPr>
              <w:t xml:space="preserve"> 10、《汉中市建设工程造价信息》2025年第5期并结合当地材料市场价格综合确定；</w:t>
            </w:r>
            <w:r>
              <w:br/>
            </w:r>
            <w:r>
              <w:rPr>
                <w:rFonts w:ascii="仿宋_GB2312" w:hAnsi="仿宋_GB2312" w:cs="仿宋_GB2312" w:eastAsia="仿宋_GB2312"/>
              </w:rPr>
              <w:t xml:space="preserve"> 11、略阳县乐素河镇人民政府2025年度略阳乐素河镇石瓮子村食用菌建设项目施工图纸，设计单位：中联宏信勘察设计有限公司，时间：2025年4月；</w:t>
            </w:r>
          </w:p>
          <w:p>
            <w:pPr>
              <w:pStyle w:val="null3"/>
            </w:pPr>
            <w:r>
              <w:rPr>
                <w:rFonts w:ascii="仿宋_GB2312" w:hAnsi="仿宋_GB2312" w:cs="仿宋_GB2312" w:eastAsia="仿宋_GB2312"/>
              </w:rPr>
              <w:t>三、计价软件：广联达GCCP7.0版本</w:t>
            </w:r>
          </w:p>
          <w:p>
            <w:pPr>
              <w:pStyle w:val="null3"/>
            </w:pPr>
            <w:r>
              <w:rPr>
                <w:rFonts w:ascii="仿宋_GB2312" w:hAnsi="仿宋_GB2312" w:cs="仿宋_GB2312" w:eastAsia="仿宋_GB2312"/>
              </w:rPr>
              <w:t>四、工期：90日历天；</w:t>
            </w:r>
          </w:p>
          <w:p>
            <w:pPr>
              <w:pStyle w:val="null3"/>
            </w:pPr>
            <w:r>
              <w:rPr>
                <w:rFonts w:ascii="仿宋_GB2312" w:hAnsi="仿宋_GB2312" w:cs="仿宋_GB2312" w:eastAsia="仿宋_GB2312"/>
              </w:rPr>
              <w:t>五、质量：合格。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按照国家标准和合同要求执行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统一社会信用代码营业执照或事业单位法人证书</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保证金缴纳凭证（截图加盖公章）和采购代理机构开具的收款收据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财务会计制度、依法缴纳税收和社会保障资金的良好记录及参加本项目采购活动前三年内在经营活动中无重大违法活动记录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供应商具有建筑工程施工总承包三级（含三级）以上资质；且具有有效的安全生产许可证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供应商拟派项目经理需具备建筑工程专业二级（含二级）及以上建造师资格，具备有效的安全生产考核合格证（建安B证），且无在建项目（以承诺书为准）</w:t>
            </w:r>
          </w:p>
        </w:tc>
        <w:tc>
          <w:tcPr>
            <w:tcW w:type="dxa" w:w="1661"/>
          </w:tcPr>
          <w:p>
            <w:pPr>
              <w:pStyle w:val="null3"/>
            </w:pPr>
            <w:r>
              <w:rPr>
                <w:rFonts w:ascii="仿宋_GB2312" w:hAnsi="仿宋_GB2312" w:cs="仿宋_GB2312" w:eastAsia="仿宋_GB2312"/>
              </w:rPr>
              <w:t>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具有2022年1月1日至今(附施工合同或中标通知书复印件，以施工合同签订日期为准)同类项目的业绩，每个业绩得2分，最高得4分，未按要求的不得分。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根据售后服务承诺，评标委员会自主赋分，得1-6分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方案应先进、合理、科学、完善、可行，评标委员会自主赋分，得1-6分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保证安全生产及文明施工的技术组织措施和环境保护措施合理科学先进，突出治污减霾；措施应完善、先进、可行，评标委员会自主赋分，得1-9分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确保投资控制的技术组织措施</w:t>
            </w:r>
          </w:p>
        </w:tc>
        <w:tc>
          <w:tcPr>
            <w:tcW w:type="dxa" w:w="2492"/>
          </w:tcPr>
          <w:p>
            <w:pPr>
              <w:pStyle w:val="null3"/>
            </w:pPr>
            <w:r>
              <w:rPr>
                <w:rFonts w:ascii="仿宋_GB2312" w:hAnsi="仿宋_GB2312" w:cs="仿宋_GB2312" w:eastAsia="仿宋_GB2312"/>
              </w:rPr>
              <w:t>保证投资控制的技术措施合理、科学、先进，评标委员会自主赋分，得1-3分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保证工期的技术措施合理、科学、先进，评标委员会自主赋分，得1-6分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施工方案完整、合理、科学，评标委员会自主赋分，得1-8分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项目经理部人员配备情况</w:t>
            </w:r>
          </w:p>
        </w:tc>
        <w:tc>
          <w:tcPr>
            <w:tcW w:type="dxa" w:w="2492"/>
          </w:tcPr>
          <w:p>
            <w:pPr>
              <w:pStyle w:val="null3"/>
            </w:pPr>
            <w:r>
              <w:rPr>
                <w:rFonts w:ascii="仿宋_GB2312" w:hAnsi="仿宋_GB2312" w:cs="仿宋_GB2312" w:eastAsia="仿宋_GB2312"/>
              </w:rPr>
              <w:t>项目经理有相同性质和规模工程的经验，项目部组成人员组成合理科学，评标委员会自主赋分，得1-5分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机械设备和材料投入计划</w:t>
            </w:r>
          </w:p>
        </w:tc>
        <w:tc>
          <w:tcPr>
            <w:tcW w:type="dxa" w:w="2492"/>
          </w:tcPr>
          <w:p>
            <w:pPr>
              <w:pStyle w:val="null3"/>
            </w:pPr>
            <w:r>
              <w:rPr>
                <w:rFonts w:ascii="仿宋_GB2312" w:hAnsi="仿宋_GB2312" w:cs="仿宋_GB2312" w:eastAsia="仿宋_GB2312"/>
              </w:rPr>
              <w:t>拟投入的施工设备情况及拟投入材料计划，评标委员会自主赋分，得1-6分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施工进度表或施工网络图、施工总平面布置图</w:t>
            </w:r>
          </w:p>
        </w:tc>
        <w:tc>
          <w:tcPr>
            <w:tcW w:type="dxa" w:w="2492"/>
          </w:tcPr>
          <w:p>
            <w:pPr>
              <w:pStyle w:val="null3"/>
            </w:pPr>
            <w:r>
              <w:rPr>
                <w:rFonts w:ascii="仿宋_GB2312" w:hAnsi="仿宋_GB2312" w:cs="仿宋_GB2312" w:eastAsia="仿宋_GB2312"/>
              </w:rPr>
              <w:t>（1）施工进度合理、科学、先进，评标委员会自主赋分，得1-3分； （2）施工总平面布置合理有效，评标委员会自主赋分，得1-3分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劳动力及机械设备安排合理妥当，评标委员会综合评比赋分，评标委员会自主赋分，得1-5分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材料、新设备、新工艺、新技术应用</w:t>
            </w:r>
          </w:p>
        </w:tc>
        <w:tc>
          <w:tcPr>
            <w:tcW w:type="dxa" w:w="2492"/>
          </w:tcPr>
          <w:p>
            <w:pPr>
              <w:pStyle w:val="null3"/>
            </w:pPr>
            <w:r>
              <w:rPr>
                <w:rFonts w:ascii="仿宋_GB2312" w:hAnsi="仿宋_GB2312" w:cs="仿宋_GB2312" w:eastAsia="仿宋_GB2312"/>
              </w:rPr>
              <w:t>根据投入的设备、技术、工艺评标委员会自主赋分，得1-6分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价格分采用低价优先法计算，报价最低的投标报价为评审基准价，其价格分为满分，其他响应人的价格分统一按照下列公式计算： 1、不享有政策优惠条件的供应商报价得分=（评审基准价/报价）×30 2、全部符合政策优惠条件的供应商报价得分=评审基准价/[报价*(1-10%)]×30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