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版本号：ZCLH-202511020250913001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略阳县紫云宫保护修缮工程设计服务项目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ZCLH-2025110</w:t>
      </w:r>
      <w:r>
        <w:br/>
      </w:r>
      <w:r>
        <w:br/>
      </w:r>
      <w:r>
        <w:br/>
      </w:r>
    </w:p>
    <w:p>
      <w:pPr>
        <w:pStyle w:val="null3"/>
        <w:jc w:val="center"/>
        <w:outlineLvl w:val="2"/>
      </w:pPr>
      <w:r>
        <w:rPr>
          <w:rFonts w:ascii="仿宋_GB2312" w:hAnsi="仿宋_GB2312" w:cs="仿宋_GB2312" w:eastAsia="仿宋_GB2312"/>
          <w:sz w:val="28"/>
          <w:b/>
        </w:rPr>
        <w:t>略阳县文化和旅游局</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略阳县文化和旅游局</w:t>
      </w:r>
      <w:r>
        <w:rPr>
          <w:rFonts w:ascii="仿宋_GB2312" w:hAnsi="仿宋_GB2312" w:cs="仿宋_GB2312" w:eastAsia="仿宋_GB2312"/>
        </w:rPr>
        <w:t>委托，拟对</w:t>
      </w:r>
      <w:r>
        <w:rPr>
          <w:rFonts w:ascii="仿宋_GB2312" w:hAnsi="仿宋_GB2312" w:cs="仿宋_GB2312" w:eastAsia="仿宋_GB2312"/>
        </w:rPr>
        <w:t>略阳县紫云宫保护修缮工程设计服务项目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ZCLH-2025110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略阳县紫云宫保护修缮工程设计服务项目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略阳县紫云宫保护修缮工程设计服务(具体以采购内容为准)，成果交付期限:15天。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采购包1（工程设计）：属于专门面向小微企业采购。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4、供应商须具有文物行政主管部门核发的文物保护工程勘察设计乙级或以上资质，且资质业务范围包含：古建筑。：供应商须具有文物行政主管部门核发的文物保护工程勘察设计乙级或以上资质，且资质业务范围包含：古建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陕西省汉中市略阳县羌文化广场文化馆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0916—4827365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四川省成都市青羊区成都市青羊区日月大道一段978号3栋1单元7层730号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采购包1：356,781.08元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略阳县文化和旅游局</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力华项目管理有限公司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略阳县紫云宫保护修缮工程设计服务(具体以采购内容为准)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356,781.08</w:t>
      </w:r>
    </w:p>
    <w:p>
      <w:pPr>
        <w:pStyle w:val="null3"/>
      </w:pPr>
      <w:r>
        <w:rPr>
          <w:rFonts w:ascii="仿宋_GB2312" w:hAnsi="仿宋_GB2312" w:cs="仿宋_GB2312" w:eastAsia="仿宋_GB2312"/>
        </w:rPr>
        <w:t>采购包最高限价（元）: 356,781.08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略阳县紫云宫保护修缮工程设计服务项目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356,781.08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标的名称：略阳县紫云宫保护修缮工程设计服务项目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369"/>
              <w:gridCol w:w="522"/>
              <w:gridCol w:w="1325"/>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 xml:space="preserve"> </w:t>
                  </w:r>
                  <w:r>
                    <w:rPr>
                      <w:rFonts w:ascii="仿宋_GB2312" w:hAnsi="仿宋_GB2312" w:cs="仿宋_GB2312" w:eastAsia="仿宋_GB2312"/>
                      <w:sz w:val="19"/>
                      <w:shd w:fill="FFFFFF" w:val="clear"/>
                    </w:rPr>
                    <w:t>参数性质</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 xml:space="preserve"> </w:t>
                  </w:r>
                  <w:r>
                    <w:rPr>
                      <w:rFonts w:ascii="仿宋_GB2312" w:hAnsi="仿宋_GB2312" w:cs="仿宋_GB2312" w:eastAsia="仿宋_GB2312"/>
                      <w:sz w:val="19"/>
                      <w:shd w:fill="FFFFFF" w:val="clear"/>
                    </w:rPr>
                    <w:t>序号</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 xml:space="preserve"> </w:t>
                  </w:r>
                  <w:r>
                    <w:rPr>
                      <w:rFonts w:ascii="仿宋_GB2312" w:hAnsi="仿宋_GB2312" w:cs="仿宋_GB2312" w:eastAsia="仿宋_GB2312"/>
                      <w:sz w:val="19"/>
                      <w:shd w:fill="FFFFFF" w:val="clear"/>
                    </w:rPr>
                    <w:t>技术要求名称</w:t>
                  </w:r>
                </w:p>
              </w:tc>
              <w:tc>
                <w:tcPr>
                  <w:tcW w:type="dxa" w:w="1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 xml:space="preserve"> </w:t>
                  </w:r>
                  <w:r>
                    <w:rPr>
                      <w:rFonts w:ascii="仿宋_GB2312" w:hAnsi="仿宋_GB2312" w:cs="仿宋_GB2312" w:eastAsia="仿宋_GB2312"/>
                      <w:sz w:val="19"/>
                      <w:shd w:fill="FFFFFF" w:val="clear"/>
                    </w:rPr>
                    <w:t>技术</w:t>
                  </w:r>
                  <w:r>
                    <w:rPr>
                      <w:rFonts w:ascii="仿宋_GB2312" w:hAnsi="仿宋_GB2312" w:cs="仿宋_GB2312" w:eastAsia="仿宋_GB2312"/>
                      <w:sz w:val="19"/>
                      <w:shd w:fill="FFFFFF" w:val="clear"/>
                    </w:rPr>
                    <w:t>参数与性能指标</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设计目标</w:t>
                  </w:r>
                </w:p>
              </w:tc>
              <w:tc>
                <w:tcPr>
                  <w:tcW w:type="dxa" w:w="1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shd w:fill="FFFFFF" w:val="clear"/>
                    </w:rPr>
                    <w:t>通过本次保护修缮，解决紫云宫屋面漏雨、木结构糟朽、木构架脱卯、地面坑洼不平、场地排水不畅等影响文物建筑长期安全保存的紧迫问题，保障文物安全和市民人身安全。</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项目内容</w:t>
                  </w:r>
                </w:p>
              </w:tc>
              <w:tc>
                <w:tcPr>
                  <w:tcW w:type="dxa" w:w="1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pPr>
                  <w:r>
                    <w:rPr>
                      <w:rFonts w:ascii="仿宋_GB2312" w:hAnsi="仿宋_GB2312" w:cs="仿宋_GB2312" w:eastAsia="仿宋_GB2312"/>
                      <w:sz w:val="19"/>
                      <w:shd w:fill="FFFFFF" w:val="clear"/>
                    </w:rPr>
                    <w:t>①紫云宫东、西厢房地面整修；</w:t>
                  </w:r>
                </w:p>
                <w:p>
                  <w:pPr>
                    <w:pStyle w:val="null3"/>
                    <w:spacing w:before="45" w:after="45"/>
                  </w:pPr>
                  <w:r>
                    <w:rPr>
                      <w:rFonts w:ascii="仿宋_GB2312" w:hAnsi="仿宋_GB2312" w:cs="仿宋_GB2312" w:eastAsia="仿宋_GB2312"/>
                      <w:sz w:val="19"/>
                      <w:shd w:fill="FFFFFF" w:val="clear"/>
                    </w:rPr>
                    <w:t>②紫云宫东、西厢墙体墙面维修；</w:t>
                  </w:r>
                </w:p>
                <w:p>
                  <w:pPr>
                    <w:pStyle w:val="null3"/>
                    <w:spacing w:before="45" w:after="45"/>
                  </w:pPr>
                  <w:r>
                    <w:rPr>
                      <w:rFonts w:ascii="仿宋_GB2312" w:hAnsi="仿宋_GB2312" w:cs="仿宋_GB2312" w:eastAsia="仿宋_GB2312"/>
                      <w:sz w:val="19"/>
                      <w:shd w:fill="FFFFFF" w:val="clear"/>
                    </w:rPr>
                    <w:t>③紫云宫东、西厢房大木结构维修；</w:t>
                  </w:r>
                </w:p>
                <w:p>
                  <w:pPr>
                    <w:pStyle w:val="null3"/>
                    <w:spacing w:before="45" w:after="45"/>
                  </w:pPr>
                  <w:r>
                    <w:rPr>
                      <w:rFonts w:ascii="仿宋_GB2312" w:hAnsi="仿宋_GB2312" w:cs="仿宋_GB2312" w:eastAsia="仿宋_GB2312"/>
                      <w:sz w:val="19"/>
                      <w:shd w:fill="FFFFFF" w:val="clear"/>
                    </w:rPr>
                    <w:t>④紫云宫东、西厢房木基层更换补配；</w:t>
                  </w:r>
                </w:p>
                <w:p>
                  <w:pPr>
                    <w:pStyle w:val="null3"/>
                    <w:spacing w:before="45" w:after="45"/>
                  </w:pPr>
                  <w:r>
                    <w:rPr>
                      <w:rFonts w:ascii="仿宋_GB2312" w:hAnsi="仿宋_GB2312" w:cs="仿宋_GB2312" w:eastAsia="仿宋_GB2312"/>
                      <w:sz w:val="19"/>
                      <w:shd w:fill="FFFFFF" w:val="clear"/>
                    </w:rPr>
                    <w:t>⑤瓦屋面挑顶维修等内容</w:t>
                  </w:r>
                  <w:r>
                    <w:rPr>
                      <w:rFonts w:ascii="仿宋_GB2312" w:hAnsi="仿宋_GB2312" w:cs="仿宋_GB2312" w:eastAsia="仿宋_GB2312"/>
                      <w:sz w:val="19"/>
                      <w:shd w:fill="FFFFFF" w:val="clear"/>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shd w:fill="FFFFFF" w:val="clear"/>
                    </w:rPr>
                    <w:t>项目要求</w:t>
                  </w:r>
                </w:p>
              </w:tc>
              <w:tc>
                <w:tcPr>
                  <w:tcW w:type="dxa" w:w="1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both"/>
                  </w:pPr>
                  <w:r>
                    <w:rPr>
                      <w:rFonts w:ascii="仿宋_GB2312" w:hAnsi="仿宋_GB2312" w:cs="仿宋_GB2312" w:eastAsia="仿宋_GB2312"/>
                      <w:sz w:val="19"/>
                      <w:shd w:fill="FFFFFF" w:val="clear"/>
                    </w:rPr>
                    <w:t>①本工程应以现状保护为主，工程范围为紫云官东西厢房文物建筑屋面保护修缮。应坚持最小干预原则,严格控制工程规模。</w:t>
                  </w:r>
                </w:p>
                <w:p>
                  <w:pPr>
                    <w:pStyle w:val="null3"/>
                    <w:spacing w:before="45" w:after="45"/>
                    <w:jc w:val="both"/>
                  </w:pPr>
                  <w:r>
                    <w:rPr>
                      <w:rFonts w:ascii="仿宋_GB2312" w:hAnsi="仿宋_GB2312" w:cs="仿宋_GB2312" w:eastAsia="仿宋_GB2312"/>
                      <w:sz w:val="19"/>
                      <w:shd w:fill="FFFFFF" w:val="clear"/>
                    </w:rPr>
                    <w:t>②加强现状勘察，进一步明确文物建筑病害类型、范围及程度，准确分析病害原因，制定有针对性的工程措施。</w:t>
                  </w:r>
                  <w:r>
                    <w:rPr>
                      <w:rFonts w:ascii="仿宋_GB2312" w:hAnsi="仿宋_GB2312" w:cs="仿宋_GB2312" w:eastAsia="仿宋_GB2312"/>
                      <w:sz w:val="19"/>
                      <w:shd w:fill="FFFFFF" w:val="clear"/>
                    </w:rPr>
                    <w:t>③加强文物建筑原工艺、原做法的研究与应用，对原有建筑材料进行仔细甄别，在不影响建筑结构安全的前提下，尽可能保留原有建筑构件。</w:t>
                  </w:r>
                </w:p>
                <w:p>
                  <w:pPr>
                    <w:pStyle w:val="null3"/>
                    <w:spacing w:before="45" w:after="45"/>
                    <w:jc w:val="both"/>
                  </w:pPr>
                  <w:r>
                    <w:rPr>
                      <w:rFonts w:ascii="仿宋_GB2312" w:hAnsi="仿宋_GB2312" w:cs="仿宋_GB2312" w:eastAsia="仿宋_GB2312"/>
                      <w:sz w:val="19"/>
                      <w:shd w:fill="FFFFFF" w:val="clear"/>
                    </w:rPr>
                    <w:t>④本项目编制应满足</w:t>
                  </w:r>
                  <w:r>
                    <w:rPr>
                      <w:rFonts w:ascii="仿宋_GB2312" w:hAnsi="仿宋_GB2312" w:cs="仿宋_GB2312" w:eastAsia="仿宋_GB2312"/>
                      <w:sz w:val="19"/>
                      <w:shd w:fill="FFFFFF" w:val="clear"/>
                    </w:rPr>
                    <w:t>国家文物局颁布的《文物保护工程设计文件编制深度要求（</w:t>
                  </w:r>
                  <w:r>
                    <w:rPr>
                      <w:rFonts w:ascii="仿宋_GB2312" w:hAnsi="仿宋_GB2312" w:cs="仿宋_GB2312" w:eastAsia="仿宋_GB2312"/>
                      <w:sz w:val="19"/>
                      <w:shd w:fill="FFFFFF" w:val="clear"/>
                    </w:rPr>
                    <w:t>2013）》文件要求。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成果交付期限：15天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成果文件交付合格后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供应商须具有文物行政主管部门核发的文物保护工程勘察设计乙级或以上资质，且资质业务范围包含：古建筑。</w:t>
            </w:r>
          </w:p>
        </w:tc>
        <w:tc>
          <w:tcPr>
            <w:tcW w:type="dxa" w:w="3322"/>
          </w:tcPr>
          <w:p>
            <w:pPr>
              <w:pStyle w:val="null3"/>
            </w:pPr>
            <w:r>
              <w:rPr>
                <w:rFonts w:ascii="仿宋_GB2312" w:hAnsi="仿宋_GB2312" w:cs="仿宋_GB2312" w:eastAsia="仿宋_GB2312"/>
              </w:rPr>
              <w:t>供应商须具有文物行政主管部门核发的文物保护工程勘察设计乙级或以上资质，且资质业务范围包含：古建筑。</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服务内容及服务邀请应答表 类似项目业绩一览表.docx 人员配备.docx 中小企业声明函 商务应答表 重、难点分析及关键过程分析.docx 服务承诺.docx 项目整体实施方案.docx 质量保证措施.docx 报价表 合理化建议.docx 响应文件封面 进度保证措施.docx 汉中市政府采购供应商资格承诺函.pdf 控股承诺.pdf 供应商应提交的相关资格证明材料.docx 残疾人福利性单位声明函 保证金.pdf 标的清单 项目理解.docx 响应函 设计方案.docx 法定代表人证明书及授权委托书.pdf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对本项目理解及分析（10分） 内容完整、描述详尽、可实施、且有针对性得10分；内容完整、可实施得7分；方案基本完整得3分；未提供不得分。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1.总体设计方案（5分） 内容完整、可实施、且有针对性得5分；内容完整、描述详尽、可实施得3分；方案基本完整得1分；未提供不得分。 2.对本项目设计方案技术可行性分析（5分） 内容完整、描述详尽、可实施、且有针对性得5分；内容完整、可实施得3分；方案基本完整得1分；未提供不得分。 3.对本项目设计工作内容概述（5分）。 内容完整、描述详尽、可实施、且有针对性得5分；内容完整、可实施得3分；方案基本完整得1分；未提供不得分。 4.现场勘察方案（5分） 内容完整、可实施、且有针对性得5分；内容完整、描述详尽、可实施得3分；方案基本完整得1分；未提供不得分。 5.技术规范规定符合性（5分） 内容完整、可实施、且有针对性得5分；内容完整、描述详尽、可实施得3分；方案基本完整得1分；未提供不得分。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重、难点分析及关键过程分析</w:t>
            </w:r>
          </w:p>
        </w:tc>
        <w:tc>
          <w:tcPr>
            <w:tcW w:type="dxa" w:w="2492"/>
          </w:tcPr>
          <w:p>
            <w:pPr>
              <w:pStyle w:val="null3"/>
            </w:pPr>
            <w:r>
              <w:rPr>
                <w:rFonts w:ascii="仿宋_GB2312" w:hAnsi="仿宋_GB2312" w:cs="仿宋_GB2312" w:eastAsia="仿宋_GB2312"/>
              </w:rPr>
              <w:t>1.项目实施重点、难点及对策措施（5分） 内容完整、可实施、且有针对性得5分；内容完整、可实施得3分；方案基本完整得1分；未提供不得分。 2.关键过程分析（5分） 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重、难点分析及关键过程分析.docx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1.项目工作进度计划安排（5分） 内容完整、条理清晰、且有针对性得5分；内容完整、可实施得3分；内容基本完整1分；未提供不得分。 2.项目进度保证措施（5分）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1.项目质量目标（5分） 内容完整、条理清晰、且有针对性得5分；内容完整、可实施得3分；内容基本完整1分；未提供不得分。 2.设计阶段控制措施（5分）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针对本项目后期服务配合、过程资料管理有具体的服务承诺（9分） 内容完整、条理清晰、可实施得9分；内容完整、可实施得5分；内容基本完整2分；未提供不得分。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针对本项目的合理化建议（5分） 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本项目的项目负责人、其他人员组织架构情况（5分） 人员专业性强、经验丰富、满足本项目需求得5分；专业性强、满足本项目需求得3分；满足本项目需求得1分；未提供不得分。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供应商提供2022年1月1日至磋商截止日止类似项目业绩，每提供一个得3分，最高得6分；业绩资料提供复印件加盖公章（资料以合同或中标通知书为准）。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详见附件：项目整体实施方案.docx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详见附件：重、难点分析及关键过程分析.docx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