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4CC8B">
      <w:pPr>
        <w:shd w:val="clear"/>
        <w:autoSpaceDE w:val="0"/>
        <w:autoSpaceDN w:val="0"/>
        <w:adjustRightInd w:val="0"/>
        <w:snapToGrid w:val="0"/>
        <w:spacing w:line="360" w:lineRule="auto"/>
        <w:jc w:val="center"/>
        <w:outlineLvl w:val="0"/>
        <w:rPr>
          <w:rFonts w:hint="eastAsia" w:ascii="黑体" w:hAnsi="黑体" w:eastAsia="黑体" w:cs="黑体"/>
          <w:bCs/>
          <w:sz w:val="36"/>
          <w:szCs w:val="36"/>
        </w:rPr>
      </w:pPr>
      <w:r>
        <w:rPr>
          <w:rFonts w:hint="eastAsia" w:ascii="黑体" w:hAnsi="黑体" w:eastAsia="黑体" w:cs="黑体"/>
          <w:bCs/>
          <w:sz w:val="36"/>
          <w:szCs w:val="36"/>
        </w:rPr>
        <w:t>拟签订采购合同文本</w:t>
      </w:r>
    </w:p>
    <w:p w14:paraId="3217B23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（注：本合同作为合同的基本格式，甲方有权在签订合同时对合同的相关条款及内容作进一步细化和修改）</w:t>
      </w:r>
    </w:p>
    <w:p w14:paraId="1DA507D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 xml:space="preserve">合同编号： </w:t>
      </w:r>
    </w:p>
    <w:p w14:paraId="3CB48A9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 xml:space="preserve">签订地点： </w:t>
      </w:r>
    </w:p>
    <w:p w14:paraId="4C8FAB5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签订时间：</w:t>
      </w:r>
    </w:p>
    <w:p w14:paraId="26A50CB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采购人（甲方）：</w:t>
      </w:r>
    </w:p>
    <w:p w14:paraId="0B119F3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供应商（乙方）：</w:t>
      </w:r>
    </w:p>
    <w:p w14:paraId="514FDB4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根据《中华人民共和国政府采购法》及实施条例、《中华人民共和国民法典》和</w:t>
      </w:r>
      <w:r>
        <w:rPr>
          <w:rFonts w:hint="eastAsia" w:ascii="仿宋" w:hAnsi="仿宋" w:eastAsia="仿宋" w:cs="仿宋"/>
          <w:bCs/>
          <w:sz w:val="22"/>
          <w:szCs w:val="22"/>
          <w:u w:val="single"/>
          <w:lang w:eastAsia="zh-CN"/>
        </w:rPr>
        <w:t>略阳县公安局警务通系统终端及通讯服务项目</w:t>
      </w:r>
      <w:r>
        <w:rPr>
          <w:rFonts w:hint="eastAsia" w:ascii="仿宋" w:hAnsi="仿宋" w:eastAsia="仿宋" w:cs="仿宋"/>
          <w:bCs/>
          <w:sz w:val="22"/>
          <w:szCs w:val="22"/>
        </w:rPr>
        <w:t>（采购项目编号：</w:t>
      </w:r>
      <w:r>
        <w:rPr>
          <w:rFonts w:hint="eastAsia" w:ascii="仿宋" w:hAnsi="仿宋" w:eastAsia="仿宋" w:cs="仿宋"/>
          <w:bCs/>
          <w:sz w:val="22"/>
          <w:szCs w:val="22"/>
          <w:u w:val="single"/>
          <w:lang w:eastAsia="zh-CN"/>
        </w:rPr>
        <w:t>TZZB-HZ-2025275C</w:t>
      </w:r>
      <w:r>
        <w:rPr>
          <w:rFonts w:hint="eastAsia" w:ascii="仿宋" w:hAnsi="仿宋" w:eastAsia="仿宋" w:cs="仿宋"/>
          <w:bCs/>
          <w:sz w:val="22"/>
          <w:szCs w:val="22"/>
        </w:rPr>
        <w:t>）的竞争性磋商文件、竞争性磋商响应文件等有关规定，为确保甲方采购项目的顺利实施，甲、乙双方在平等自愿原则下签订本合同，并共同遵守如下条款：</w:t>
      </w:r>
    </w:p>
    <w:p w14:paraId="0D47295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第一条 项目基本情况</w:t>
      </w:r>
    </w:p>
    <w:p w14:paraId="565BB84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第二条 合同期限</w:t>
      </w:r>
    </w:p>
    <w:p w14:paraId="02FFAE2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0" w:name="_Toc282696226"/>
      <w:bookmarkStart w:id="1" w:name="_Toc185395249"/>
      <w:bookmarkStart w:id="2" w:name="_Toc251768862"/>
      <w:bookmarkStart w:id="3" w:name="_Toc239233914"/>
      <w:bookmarkStart w:id="4" w:name="_Toc225244852"/>
      <w:bookmarkStart w:id="5" w:name="_Toc286993786"/>
      <w:bookmarkStart w:id="6" w:name="_Toc247334841"/>
      <w:bookmarkStart w:id="7" w:name="_Toc211854449"/>
      <w:bookmarkStart w:id="8" w:name="_Toc212019594"/>
      <w:bookmarkStart w:id="9" w:name="_Toc232492928"/>
      <w:bookmarkStart w:id="10" w:name="_Toc239568418"/>
      <w:bookmarkStart w:id="11" w:name="_Toc283019214"/>
      <w:bookmarkStart w:id="12" w:name="_Toc225654644"/>
      <w:bookmarkStart w:id="13" w:name="_Toc237145406"/>
      <w:bookmarkStart w:id="14" w:name="_Toc225670751"/>
      <w:bookmarkStart w:id="15" w:name="_Toc211911348"/>
      <w:bookmarkStart w:id="16" w:name="_Toc238984975"/>
      <w:bookmarkStart w:id="17" w:name="_Toc241833903"/>
      <w:r>
        <w:rPr>
          <w:rFonts w:hint="eastAsia" w:ascii="仿宋" w:hAnsi="仿宋" w:eastAsia="仿宋" w:cs="仿宋"/>
          <w:bCs/>
          <w:sz w:val="22"/>
          <w:szCs w:val="22"/>
        </w:rPr>
        <w:t>第三条 服务内容与质量标准</w:t>
      </w:r>
    </w:p>
    <w:p w14:paraId="00E019BF">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本合同所提供的服务项目内容：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（与响应文件中服务及设备明细表一致）。</w:t>
      </w:r>
    </w:p>
    <w:p w14:paraId="5C39D0C7">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1、</w:t>
      </w:r>
      <w:r>
        <w:rPr>
          <w:rFonts w:hint="eastAsia" w:ascii="仿宋" w:hAnsi="仿宋" w:eastAsia="仿宋" w:cs="仿宋"/>
          <w:bCs/>
          <w:sz w:val="22"/>
          <w:szCs w:val="22"/>
          <w:lang w:eastAsia="zh-CN"/>
        </w:rPr>
        <w:t>服务期限</w:t>
      </w:r>
      <w:r>
        <w:rPr>
          <w:rFonts w:hint="eastAsia" w:ascii="仿宋" w:hAnsi="仿宋" w:eastAsia="仿宋" w:cs="仿宋"/>
          <w:bCs/>
          <w:sz w:val="22"/>
          <w:szCs w:val="22"/>
        </w:rPr>
        <w:t>：</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31D9F5A">
      <w:pPr>
        <w:shd w:val="clear"/>
        <w:snapToGrid w:val="0"/>
        <w:spacing w:line="360" w:lineRule="auto"/>
        <w:ind w:firstLine="482"/>
        <w:rPr>
          <w:rFonts w:ascii="仿宋" w:hAnsi="仿宋" w:eastAsia="仿宋" w:cs="仿宋"/>
          <w:bCs/>
          <w:sz w:val="22"/>
          <w:szCs w:val="22"/>
        </w:rPr>
      </w:pPr>
      <w:r>
        <w:rPr>
          <w:rFonts w:hint="eastAsia" w:ascii="仿宋" w:hAnsi="仿宋" w:eastAsia="仿宋" w:cs="仿宋"/>
          <w:bCs/>
          <w:sz w:val="22"/>
          <w:szCs w:val="22"/>
        </w:rPr>
        <w:t>2、服务地点：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8D65F4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w:t>
      </w:r>
    </w:p>
    <w:p w14:paraId="4442EAD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第四条 服务费用</w:t>
      </w:r>
    </w:p>
    <w:p w14:paraId="6305C71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1、服务总费用为人民币大写：</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元， RMB¥</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 xml:space="preserve"> 。</w:t>
      </w:r>
    </w:p>
    <w:p w14:paraId="324454E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2、本项目服务费用由以下组成：</w:t>
      </w:r>
    </w:p>
    <w:p w14:paraId="740A739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（1）XX万元；</w:t>
      </w:r>
    </w:p>
    <w:p w14:paraId="254791B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（2）XX万元；</w:t>
      </w:r>
    </w:p>
    <w:p w14:paraId="49E0F28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w:t>
      </w:r>
    </w:p>
    <w:p w14:paraId="778880D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3、本合同执行期间服务总费用不变，甲方无须另向乙方支付本合同规定之外的其他任何费用。</w:t>
      </w:r>
    </w:p>
    <w:p w14:paraId="1CAA0B94">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第五条  服务费支付方式</w:t>
      </w:r>
    </w:p>
    <w:p w14:paraId="7791B190">
      <w:pPr>
        <w:shd w:val="clear"/>
        <w:autoSpaceDE w:val="0"/>
        <w:autoSpaceDN w:val="0"/>
        <w:adjustRightInd w:val="0"/>
        <w:snapToGrid w:val="0"/>
        <w:spacing w:line="360" w:lineRule="auto"/>
        <w:jc w:val="left"/>
        <w:outlineLvl w:val="0"/>
        <w:rPr>
          <w:rFonts w:hint="default" w:ascii="仿宋" w:hAnsi="仿宋" w:eastAsia="仿宋" w:cs="仿宋"/>
          <w:bCs/>
          <w:sz w:val="22"/>
          <w:szCs w:val="22"/>
          <w:u w:val="single"/>
          <w:lang w:val="en-US" w:eastAsia="zh-CN"/>
        </w:rPr>
      </w:pPr>
      <w:r>
        <w:rPr>
          <w:rFonts w:hint="eastAsia" w:ascii="仿宋" w:hAnsi="仿宋" w:eastAsia="仿宋" w:cs="仿宋"/>
          <w:bCs/>
          <w:sz w:val="22"/>
          <w:szCs w:val="22"/>
          <w:u w:val="single"/>
          <w:lang w:val="en-US" w:eastAsia="zh-CN"/>
        </w:rPr>
        <w:t xml:space="preserve">                                                            </w:t>
      </w:r>
    </w:p>
    <w:p w14:paraId="16AE04E8">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第六条   知识产权</w:t>
      </w:r>
    </w:p>
    <w:p w14:paraId="57666CE8">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乙方应保证所提供的服务或其任何一部分均不会侵犯任何第三方的专利权、商标权或著作权。</w:t>
      </w:r>
    </w:p>
    <w:p w14:paraId="486D99F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第七条  无产权瑕疵条款</w:t>
      </w:r>
    </w:p>
    <w:p w14:paraId="4D3DED9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乙方保证所提供的服务的所有权完全属于乙方且无任何抵押、查封等产权瑕疵。如有产权瑕疵的，视为乙方违约。乙方应负担由此而产生的一切损失。</w:t>
      </w:r>
    </w:p>
    <w:p w14:paraId="217B5A2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第八条  甲方的权利和义务</w:t>
      </w:r>
    </w:p>
    <w:p w14:paraId="653BBA6B">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0F679B9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2、甲方有权依据双方签订的考评办法对乙方提供的服务进行定期考评。</w:t>
      </w:r>
    </w:p>
    <w:p w14:paraId="293FFDFD">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3、负责检查监督乙方管理工作的实施及制度的执行情况。</w:t>
      </w:r>
    </w:p>
    <w:p w14:paraId="222B207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4、根据本合同规定，按时向乙方支付应付服务费用。</w:t>
      </w:r>
    </w:p>
    <w:p w14:paraId="137EC49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5、国家法律、法规所规定由甲方承担的其它责任。</w:t>
      </w:r>
    </w:p>
    <w:p w14:paraId="5814B23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第九条  乙方的权利和义务</w:t>
      </w:r>
    </w:p>
    <w:p w14:paraId="380B511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1、对本合同规定的委托服务范围内的项目享有管理权及服务义务。</w:t>
      </w:r>
    </w:p>
    <w:p w14:paraId="7FA8B16B">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2、根据本合同的规定向甲方收取相关服务费用，并有权在本项目管理范围内管理及合理使用。</w:t>
      </w:r>
    </w:p>
    <w:p w14:paraId="2CDE4801">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3、及时向甲方通告本项目服务范围内有关服务的重大事项，及时配合处理投诉。</w:t>
      </w:r>
    </w:p>
    <w:p w14:paraId="3D86B74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4、接受项目行业管理部门及政府有关部门的指导，接受甲方的监督。</w:t>
      </w:r>
    </w:p>
    <w:p w14:paraId="41F455A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5、国家法律、法规所规定由乙方承担的其它责任。</w:t>
      </w:r>
    </w:p>
    <w:p w14:paraId="1D642CB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第十条  违约责任</w:t>
      </w:r>
    </w:p>
    <w:p w14:paraId="31023CE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1、甲乙双方必须遵守本合同并执行合同中的各项规定，保证本合同的正常履行。</w:t>
      </w:r>
    </w:p>
    <w:p w14:paraId="228BA72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7ACE4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第十一条  不可抗力事件处理</w:t>
      </w:r>
    </w:p>
    <w:p w14:paraId="7231C42C">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1、在合同有效期内，任何一方因不可抗力事件导致不能履行合同，则合同履行期可延长，其延长期与不可抗力影响期相同。</w:t>
      </w:r>
    </w:p>
    <w:p w14:paraId="21C3AD2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2、不可抗力事件发生后，应立即通知对方，并寄送有关权威机构出具的证明。</w:t>
      </w:r>
    </w:p>
    <w:p w14:paraId="62B989F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F15E5B0">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18" w:name="_Toc239233919"/>
      <w:bookmarkStart w:id="19" w:name="_Toc232492933"/>
      <w:bookmarkStart w:id="20" w:name="_Toc239568423"/>
      <w:bookmarkStart w:id="21" w:name="_Toc225244857"/>
      <w:bookmarkStart w:id="22" w:name="_Toc247334846"/>
      <w:bookmarkStart w:id="23" w:name="_Toc251768867"/>
      <w:bookmarkStart w:id="24" w:name="_Toc237145411"/>
      <w:bookmarkStart w:id="25" w:name="_Toc241833908"/>
      <w:bookmarkStart w:id="26" w:name="_Toc225654649"/>
      <w:bookmarkStart w:id="27" w:name="_Toc212019599"/>
      <w:bookmarkStart w:id="28" w:name="_Toc225670756"/>
      <w:bookmarkStart w:id="29" w:name="_Toc185395254"/>
      <w:bookmarkStart w:id="30" w:name="_Toc238984980"/>
      <w:bookmarkStart w:id="31" w:name="_Toc286993792"/>
      <w:bookmarkStart w:id="32" w:name="_Toc211911353"/>
      <w:bookmarkStart w:id="33" w:name="_Toc211854454"/>
      <w:r>
        <w:rPr>
          <w:rFonts w:hint="eastAsia" w:ascii="仿宋" w:hAnsi="仿宋" w:eastAsia="仿宋" w:cs="仿宋"/>
          <w:bCs/>
          <w:sz w:val="22"/>
          <w:szCs w:val="22"/>
        </w:rPr>
        <w:t>第十二条  合同的变更和终止</w:t>
      </w:r>
    </w:p>
    <w:p w14:paraId="2EE69753">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除《中华人民共和国政府采购法》第49条、第50条第二款规定的情形外，本合同一经签订，甲乙双方不得擅自变更、中止或终止合同。</w:t>
      </w:r>
    </w:p>
    <w:p w14:paraId="06E434D9">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5962E6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1、在执行本合同中发生的或与本合同有关的争端，双方应通过友好协商解决，经协商在XX天内不能达成协议时，则采取以下第____种方式解决争议：</w:t>
      </w:r>
    </w:p>
    <w:p w14:paraId="05B176ED">
      <w:pPr>
        <w:shd w:val="clear"/>
        <w:autoSpaceDE w:val="0"/>
        <w:autoSpaceDN w:val="0"/>
        <w:adjustRightInd w:val="0"/>
        <w:snapToGrid w:val="0"/>
        <w:spacing w:line="360" w:lineRule="auto"/>
        <w:ind w:firstLine="220" w:firstLineChars="100"/>
        <w:jc w:val="left"/>
        <w:outlineLvl w:val="0"/>
        <w:rPr>
          <w:rFonts w:ascii="仿宋" w:hAnsi="仿宋" w:eastAsia="仿宋" w:cs="仿宋"/>
          <w:bCs/>
          <w:sz w:val="22"/>
          <w:szCs w:val="22"/>
        </w:rPr>
      </w:pPr>
      <w:r>
        <w:rPr>
          <w:rFonts w:hint="eastAsia" w:ascii="仿宋" w:hAnsi="仿宋" w:eastAsia="仿宋" w:cs="仿宋"/>
          <w:bCs/>
          <w:sz w:val="22"/>
          <w:szCs w:val="22"/>
        </w:rPr>
        <w:t>（1）向甲方所在地有管辖权的人民法院提起诉讼；</w:t>
      </w:r>
    </w:p>
    <w:p w14:paraId="4DCA4FF7">
      <w:pPr>
        <w:shd w:val="clear"/>
        <w:autoSpaceDE w:val="0"/>
        <w:autoSpaceDN w:val="0"/>
        <w:adjustRightInd w:val="0"/>
        <w:snapToGrid w:val="0"/>
        <w:spacing w:line="360" w:lineRule="auto"/>
        <w:ind w:firstLine="220" w:firstLineChars="100"/>
        <w:jc w:val="left"/>
        <w:outlineLvl w:val="0"/>
        <w:rPr>
          <w:rFonts w:ascii="仿宋" w:hAnsi="仿宋" w:eastAsia="仿宋" w:cs="仿宋"/>
          <w:bCs/>
          <w:sz w:val="22"/>
          <w:szCs w:val="22"/>
        </w:rPr>
      </w:pPr>
      <w:r>
        <w:rPr>
          <w:rFonts w:hint="eastAsia" w:ascii="仿宋" w:hAnsi="仿宋" w:eastAsia="仿宋" w:cs="仿宋"/>
          <w:bCs/>
          <w:sz w:val="22"/>
          <w:szCs w:val="22"/>
        </w:rPr>
        <w:t>（2）向____________仲裁委员会按其仲裁规则申请仲裁。</w:t>
      </w:r>
    </w:p>
    <w:p w14:paraId="28C90EA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2、在仲裁期间，本合同应继续履行。</w:t>
      </w:r>
    </w:p>
    <w:p w14:paraId="3BE7479F">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bookmarkStart w:id="34" w:name="_Toc212019600"/>
      <w:bookmarkStart w:id="35" w:name="_Toc282696231"/>
      <w:bookmarkStart w:id="36" w:name="_Toc225670757"/>
      <w:bookmarkStart w:id="37" w:name="_Toc211854455"/>
      <w:bookmarkStart w:id="38" w:name="_Toc241833909"/>
      <w:bookmarkStart w:id="39" w:name="_Toc238984981"/>
      <w:bookmarkStart w:id="40" w:name="_Toc211911354"/>
      <w:bookmarkStart w:id="41" w:name="_Toc286993793"/>
      <w:bookmarkStart w:id="42" w:name="_Toc239568424"/>
      <w:bookmarkStart w:id="43" w:name="_Toc225654650"/>
      <w:bookmarkStart w:id="44" w:name="_Toc185395255"/>
      <w:bookmarkStart w:id="45" w:name="_Toc283019219"/>
      <w:bookmarkStart w:id="46" w:name="_Toc225244858"/>
      <w:bookmarkStart w:id="47" w:name="_Toc237145412"/>
      <w:bookmarkStart w:id="48" w:name="_Toc239233920"/>
      <w:bookmarkStart w:id="49" w:name="_Toc232492934"/>
      <w:bookmarkStart w:id="50" w:name="_Toc251768868"/>
      <w:bookmarkStart w:id="51" w:name="_Toc247334847"/>
      <w:r>
        <w:rPr>
          <w:rFonts w:hint="eastAsia" w:ascii="仿宋" w:hAnsi="仿宋" w:eastAsia="仿宋" w:cs="仿宋"/>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sz w:val="22"/>
          <w:szCs w:val="22"/>
        </w:rPr>
        <w:t>生效及其他</w:t>
      </w:r>
    </w:p>
    <w:p w14:paraId="062197D8">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1、合同经双方法定代表人或授权委托代理人签字并加盖单位公章后生效。</w:t>
      </w:r>
    </w:p>
    <w:p w14:paraId="2160C73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2、合同执行中涉及采购资金和采购内容修改或补充的，须经政府采购监管部门审批，并签书面补充协议报政府采购监督管理部门备案，方可作为主合同不可分割的一部分。</w:t>
      </w:r>
    </w:p>
    <w:p w14:paraId="06B015BE">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3、本合同一式XX份，自双方签章之日起起效。甲方XX份，乙方XX份，政府采购代理机构XX份，同级财政部门备案XX份，具有同等法律效力。</w:t>
      </w:r>
    </w:p>
    <w:p w14:paraId="036DFAD2">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第十五条  附件</w:t>
      </w:r>
    </w:p>
    <w:p w14:paraId="7E7E9426">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1、项目竞争性磋商文件</w:t>
      </w:r>
    </w:p>
    <w:p w14:paraId="6E98C26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2、项目修改澄清文件</w:t>
      </w:r>
      <w:bookmarkStart w:id="52" w:name="_GoBack"/>
      <w:bookmarkEnd w:id="52"/>
    </w:p>
    <w:p w14:paraId="64D9FE94">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3、项目响应文件</w:t>
      </w:r>
    </w:p>
    <w:p w14:paraId="1B812031">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4、成交通知书</w:t>
      </w:r>
    </w:p>
    <w:p w14:paraId="4EE22C57">
      <w:pPr>
        <w:shd w:val="clear"/>
        <w:autoSpaceDE w:val="0"/>
        <w:autoSpaceDN w:val="0"/>
        <w:adjustRightInd w:val="0"/>
        <w:snapToGrid w:val="0"/>
        <w:spacing w:line="360" w:lineRule="auto"/>
        <w:ind w:firstLine="440" w:firstLineChars="200"/>
        <w:jc w:val="left"/>
        <w:outlineLvl w:val="0"/>
        <w:rPr>
          <w:rFonts w:ascii="仿宋" w:hAnsi="仿宋" w:eastAsia="仿宋" w:cs="仿宋"/>
          <w:bCs/>
          <w:sz w:val="22"/>
          <w:szCs w:val="22"/>
        </w:rPr>
      </w:pPr>
      <w:r>
        <w:rPr>
          <w:rFonts w:hint="eastAsia" w:ascii="仿宋" w:hAnsi="仿宋" w:eastAsia="仿宋" w:cs="仿宋"/>
          <w:bCs/>
          <w:sz w:val="22"/>
          <w:szCs w:val="22"/>
        </w:rPr>
        <w:t>5、其他</w:t>
      </w:r>
    </w:p>
    <w:p w14:paraId="60ED02D0">
      <w:pPr>
        <w:shd w:val="clear"/>
        <w:rPr>
          <w:rFonts w:ascii="仿宋" w:hAnsi="仿宋" w:eastAsia="仿宋" w:cs="仿宋"/>
          <w:bCs/>
          <w:sz w:val="22"/>
          <w:szCs w:val="22"/>
        </w:rPr>
      </w:pPr>
    </w:p>
    <w:p w14:paraId="521DC075">
      <w:pPr>
        <w:shd w:val="clear"/>
        <w:rPr>
          <w:rFonts w:ascii="仿宋" w:hAnsi="仿宋" w:eastAsia="仿宋" w:cs="仿宋"/>
          <w:bCs/>
          <w:sz w:val="22"/>
          <w:szCs w:val="22"/>
        </w:rPr>
      </w:pPr>
    </w:p>
    <w:p w14:paraId="6BC47FC9">
      <w:pPr>
        <w:shd w:val="clear"/>
        <w:rPr>
          <w:rFonts w:ascii="仿宋" w:hAnsi="仿宋" w:eastAsia="仿宋" w:cs="仿宋"/>
          <w:bCs/>
          <w:sz w:val="22"/>
          <w:szCs w:val="22"/>
        </w:rPr>
      </w:pPr>
    </w:p>
    <w:p w14:paraId="200B80BF">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 xml:space="preserve">甲方：   （盖章）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乙方：   （盖章）</w:t>
      </w:r>
    </w:p>
    <w:p w14:paraId="4A2A5199">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法定代表人（授权代表）：              法定代表人（授权代表）：</w:t>
      </w:r>
    </w:p>
    <w:p w14:paraId="3D10F9F2">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地    址：                            地    址：</w:t>
      </w:r>
    </w:p>
    <w:p w14:paraId="709F846B">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开户银行：                            开户银行：</w:t>
      </w:r>
    </w:p>
    <w:p w14:paraId="5686CF7E">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账号：                                账号：</w:t>
      </w:r>
    </w:p>
    <w:p w14:paraId="71F97FFA">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电    话：                            电    话：</w:t>
      </w:r>
    </w:p>
    <w:p w14:paraId="08DD34E5">
      <w:pPr>
        <w:shd w:val="clear"/>
        <w:autoSpaceDE w:val="0"/>
        <w:autoSpaceDN w:val="0"/>
        <w:adjustRightInd w:val="0"/>
        <w:snapToGrid w:val="0"/>
        <w:spacing w:line="360" w:lineRule="auto"/>
        <w:jc w:val="left"/>
        <w:outlineLvl w:val="0"/>
        <w:rPr>
          <w:rFonts w:ascii="仿宋" w:hAnsi="仿宋" w:eastAsia="仿宋" w:cs="仿宋"/>
          <w:bCs/>
          <w:sz w:val="22"/>
          <w:szCs w:val="22"/>
        </w:rPr>
      </w:pPr>
      <w:r>
        <w:rPr>
          <w:rFonts w:hint="eastAsia" w:ascii="仿宋" w:hAnsi="仿宋" w:eastAsia="仿宋" w:cs="仿宋"/>
          <w:bCs/>
          <w:sz w:val="22"/>
          <w:szCs w:val="22"/>
        </w:rPr>
        <w:t>传    真：                            传    真：</w:t>
      </w:r>
    </w:p>
    <w:p w14:paraId="614E033C">
      <w:pPr>
        <w:shd w:val="clear"/>
        <w:autoSpaceDE w:val="0"/>
        <w:autoSpaceDN w:val="0"/>
        <w:adjustRightInd w:val="0"/>
        <w:snapToGrid w:val="0"/>
        <w:spacing w:line="360" w:lineRule="auto"/>
        <w:jc w:val="left"/>
        <w:outlineLvl w:val="0"/>
      </w:pPr>
      <w:r>
        <w:rPr>
          <w:rFonts w:hint="eastAsia" w:ascii="仿宋" w:hAnsi="仿宋" w:eastAsia="仿宋" w:cs="仿宋"/>
          <w:bCs/>
          <w:sz w:val="22"/>
          <w:szCs w:val="22"/>
        </w:rPr>
        <w:t xml:space="preserve">签约日期：  年  月  日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FE32DD"/>
    <w:rsid w:val="479B4092"/>
    <w:rsid w:val="640A3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2"/>
    <w:basedOn w:val="4"/>
    <w:qFormat/>
    <w:uiPriority w:val="99"/>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1743</Words>
  <Characters>1793</Characters>
  <Lines>0</Lines>
  <Paragraphs>0</Paragraphs>
  <TotalTime>2</TotalTime>
  <ScaleCrop>false</ScaleCrop>
  <LinksUpToDate>false</LinksUpToDate>
  <CharactersWithSpaces>2144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2025-09-09T03:29:00Z</dcterms:created>
  <dc:creator>0002</dc:creator>
  <cp:lastModifiedBy>大眼邓小眼</cp:lastModifiedBy>
  <dcterms:modified xsi:type="dcterms:W3CDTF">2025-09-17T09:39:51Z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A84E0B86E9B5467BA1A00AAD0656B0AC_12</vt:lpwstr>
  </property>
</Properties>
</file>