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版本号：ZCMR-202600620260122001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略阳县接官亭镇2025年度农作物秸秆综合利用项目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ZCMR-2026006</w:t>
      </w:r>
      <w:r>
        <w:br/>
      </w:r>
      <w:r>
        <w:br/>
      </w:r>
      <w:r>
        <w:br/>
      </w:r>
    </w:p>
    <w:p>
      <w:pPr>
        <w:pStyle w:val="null3"/>
        <w:jc w:val="center"/>
        <w:outlineLvl w:val="2"/>
      </w:pPr>
      <w:r>
        <w:rPr>
          <w:rFonts w:ascii="仿宋_GB2312" w:hAnsi="仿宋_GB2312" w:cs="仿宋_GB2312" w:eastAsia="仿宋_GB2312"/>
          <w:sz w:val="28"/>
          <w:b/>
        </w:rPr>
        <w:t>略阳县接官亭镇人民政府</w:t>
      </w:r>
    </w:p>
    <w:p>
      <w:pPr>
        <w:pStyle w:val="null3"/>
        <w:jc w:val="center"/>
        <w:outlineLvl w:val="2"/>
      </w:pPr>
      <w:r>
        <w:rPr>
          <w:rFonts w:ascii="仿宋_GB2312" w:hAnsi="仿宋_GB2312" w:cs="仿宋_GB2312" w:eastAsia="仿宋_GB2312"/>
          <w:sz w:val="28"/>
          <w:b/>
        </w:rPr>
        <w:t>汉中明瑞项目管理有限公司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汉中明瑞项目管理有限公司</w:t>
      </w:r>
      <w:r>
        <w:rPr>
          <w:rFonts w:ascii="仿宋_GB2312" w:hAnsi="仿宋_GB2312" w:cs="仿宋_GB2312" w:eastAsia="仿宋_GB2312"/>
        </w:rPr>
        <w:t>（以下简称“代理机构”）受</w:t>
      </w:r>
      <w:r>
        <w:rPr>
          <w:rFonts w:ascii="仿宋_GB2312" w:hAnsi="仿宋_GB2312" w:cs="仿宋_GB2312" w:eastAsia="仿宋_GB2312"/>
        </w:rPr>
        <w:t>略阳县接官亭镇人民政府</w:t>
      </w:r>
      <w:r>
        <w:rPr>
          <w:rFonts w:ascii="仿宋_GB2312" w:hAnsi="仿宋_GB2312" w:cs="仿宋_GB2312" w:eastAsia="仿宋_GB2312"/>
        </w:rPr>
        <w:t>委托，拟对</w:t>
      </w:r>
      <w:r>
        <w:rPr>
          <w:rFonts w:ascii="仿宋_GB2312" w:hAnsi="仿宋_GB2312" w:cs="仿宋_GB2312" w:eastAsia="仿宋_GB2312"/>
        </w:rPr>
        <w:t>略阳县接官亭镇2025年度农作物秸秆综合利用项目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ZCMR-2026006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略阳县接官亭镇2025年度农作物秸秆综合利用项目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购置一批设施农业设备，用于秸秆收集转运、粉碎加工、储存利用，提高收储专业化水平，实现秸秆饲料化高质高效综合利用。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采购包1（农作物秸秆综合利用）：属于专门面向中小企业采购。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略阳县接官亭镇人民政府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略阳县接官亭镇人民政府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蹇先生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0916-4911003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汉中明瑞项目管理有限公司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汉中市汉台区竹园天玺办公楼11楼（汉台区桥北广场东北角）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17384866623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开户名称：中国建设银行股份有限公司汉中天汉大道支行</w:t>
            </w:r>
          </w:p>
          <w:p>
            <w:pPr>
              <w:pStyle w:val="null3"/>
            </w:pPr>
            <w:r>
              <w:rPr>
                <w:rFonts w:ascii="仿宋_GB2312" w:hAnsi="仿宋_GB2312" w:cs="仿宋_GB2312" w:eastAsia="仿宋_GB2312"/>
              </w:rPr>
              <w:t>开户银行：汉中明瑞项目管理有限公司</w:t>
            </w:r>
          </w:p>
          <w:p>
            <w:pPr>
              <w:pStyle w:val="null3"/>
            </w:pPr>
            <w:r>
              <w:rPr>
                <w:rFonts w:ascii="仿宋_GB2312" w:hAnsi="仿宋_GB2312" w:cs="仿宋_GB2312" w:eastAsia="仿宋_GB2312"/>
              </w:rPr>
              <w:t>银行账号：61050165530000001084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说明：在签订合同前供应商应按签约合同价的3%缴纳履约保证金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 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略阳县接官亭镇人民政府</w:t>
      </w:r>
      <w:r>
        <w:rPr>
          <w:rFonts w:ascii="仿宋_GB2312" w:hAnsi="仿宋_GB2312" w:cs="仿宋_GB2312" w:eastAsia="仿宋_GB2312"/>
        </w:rPr>
        <w:t>和</w:t>
      </w:r>
      <w:r>
        <w:rPr>
          <w:rFonts w:ascii="仿宋_GB2312" w:hAnsi="仿宋_GB2312" w:cs="仿宋_GB2312" w:eastAsia="仿宋_GB2312"/>
        </w:rPr>
        <w:t>汉中明瑞项目管理有限公司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略阳县接官亭镇人民政府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汉中明瑞项目管理有限公司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略阳县接官亭镇人民政府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汉中明瑞项目管理有限公司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联系人：杨先生</w:t>
      </w:r>
    </w:p>
    <w:p>
      <w:pPr>
        <w:pStyle w:val="null3"/>
      </w:pPr>
      <w:r>
        <w:rPr>
          <w:rFonts w:ascii="仿宋_GB2312" w:hAnsi="仿宋_GB2312" w:cs="仿宋_GB2312" w:eastAsia="仿宋_GB2312"/>
        </w:rPr>
        <w:t>联系电话：17384866623</w:t>
      </w:r>
    </w:p>
    <w:p>
      <w:pPr>
        <w:pStyle w:val="null3"/>
      </w:pPr>
      <w:r>
        <w:rPr>
          <w:rFonts w:ascii="仿宋_GB2312" w:hAnsi="仿宋_GB2312" w:cs="仿宋_GB2312" w:eastAsia="仿宋_GB2312"/>
        </w:rPr>
        <w:t>地址：汉中市汉台区竹园天玺办公楼11楼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购置一批设施农业设备，用于秸秆收集转运、粉碎加工、储存利用，提高收储专业化水平，实现秸秆饲料化高质高效综合利用。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549,000.00</w:t>
      </w:r>
    </w:p>
    <w:p>
      <w:pPr>
        <w:pStyle w:val="null3"/>
      </w:pPr>
      <w:r>
        <w:rPr>
          <w:rFonts w:ascii="仿宋_GB2312" w:hAnsi="仿宋_GB2312" w:cs="仿宋_GB2312" w:eastAsia="仿宋_GB2312"/>
        </w:rPr>
        <w:t>采购包最高限价（元）: 549,000.00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94"/>
              <w:gridCol w:w="181"/>
              <w:gridCol w:w="1873"/>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建设内容</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1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技术参数和性能指标</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全自动秸秆</w:t>
                  </w:r>
                  <w:r>
                    <w:rPr>
                      <w:rFonts w:ascii="仿宋_GB2312" w:hAnsi="仿宋_GB2312" w:cs="仿宋_GB2312" w:eastAsia="仿宋_GB2312"/>
                      <w:sz w:val="24"/>
                    </w:rPr>
                    <w:t>打包生产线、防尘设备及存储托盘</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三缸秸秆压捆机配套动力：</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22</w:t>
                  </w:r>
                  <w:r>
                    <w:rPr>
                      <w:rFonts w:ascii="仿宋_GB2312" w:hAnsi="仿宋_GB2312" w:cs="仿宋_GB2312" w:eastAsia="仿宋_GB2312"/>
                      <w:sz w:val="21"/>
                    </w:rPr>
                    <w:t>千瓦；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生产率：</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60捆/h；</w:t>
                  </w:r>
                </w:p>
                <w:p>
                  <w:pPr>
                    <w:pStyle w:val="null3"/>
                    <w:jc w:val="left"/>
                  </w:pPr>
                  <w:r>
                    <w:rPr>
                      <w:rFonts w:ascii="仿宋_GB2312" w:hAnsi="仿宋_GB2312" w:cs="仿宋_GB2312" w:eastAsia="仿宋_GB2312"/>
                      <w:sz w:val="21"/>
                    </w:rPr>
                    <w:t>草捆密度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100kg/m³；</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输送带长度：</w:t>
                  </w:r>
                  <w:r>
                    <w:rPr>
                      <w:rFonts w:ascii="仿宋_GB2312" w:hAnsi="仿宋_GB2312" w:cs="仿宋_GB2312" w:eastAsia="仿宋_GB2312"/>
                      <w:sz w:val="21"/>
                    </w:rPr>
                    <w:t>≥9米，</w:t>
                  </w:r>
                </w:p>
                <w:p>
                  <w:pPr>
                    <w:pStyle w:val="null3"/>
                    <w:jc w:val="left"/>
                  </w:pPr>
                  <w:r>
                    <w:rPr>
                      <w:rFonts w:ascii="仿宋_GB2312" w:hAnsi="仿宋_GB2312" w:cs="仿宋_GB2312" w:eastAsia="仿宋_GB2312"/>
                      <w:sz w:val="21"/>
                    </w:rPr>
                    <w:t>宽度：</w:t>
                  </w:r>
                  <w:r>
                    <w:rPr>
                      <w:rFonts w:ascii="仿宋_GB2312" w:hAnsi="仿宋_GB2312" w:cs="仿宋_GB2312" w:eastAsia="仿宋_GB2312"/>
                      <w:sz w:val="21"/>
                    </w:rPr>
                    <w:t>≥0.8米、</w:t>
                  </w:r>
                </w:p>
                <w:p>
                  <w:pPr>
                    <w:pStyle w:val="null3"/>
                    <w:jc w:val="left"/>
                  </w:pPr>
                  <w:r>
                    <w:rPr>
                      <w:rFonts w:ascii="仿宋_GB2312" w:hAnsi="仿宋_GB2312" w:cs="仿宋_GB2312" w:eastAsia="仿宋_GB2312"/>
                      <w:sz w:val="21"/>
                    </w:rPr>
                    <w:t>配套动力</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3千瓦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存储托盘（</w:t>
                  </w:r>
                  <w:r>
                    <w:rPr>
                      <w:rFonts w:ascii="仿宋_GB2312" w:hAnsi="仿宋_GB2312" w:cs="仿宋_GB2312" w:eastAsia="仿宋_GB2312"/>
                      <w:sz w:val="21"/>
                    </w:rPr>
                    <w:t>50个）规格尺寸：1.2*1米；</w:t>
                  </w:r>
                </w:p>
                <w:p>
                  <w:pPr>
                    <w:pStyle w:val="null3"/>
                    <w:jc w:val="left"/>
                  </w:pPr>
                  <w:r>
                    <w:rPr>
                      <w:rFonts w:ascii="仿宋_GB2312" w:hAnsi="仿宋_GB2312" w:cs="仿宋_GB2312" w:eastAsia="仿宋_GB2312"/>
                      <w:sz w:val="21"/>
                    </w:rPr>
                    <w:t>材质：金属材质</w:t>
                  </w:r>
                </w:p>
                <w:p>
                  <w:pPr>
                    <w:pStyle w:val="null3"/>
                    <w:jc w:val="left"/>
                  </w:pPr>
                  <w:r>
                    <w:rPr>
                      <w:rFonts w:ascii="仿宋_GB2312" w:hAnsi="仿宋_GB2312" w:cs="仿宋_GB2312" w:eastAsia="仿宋_GB2312"/>
                      <w:sz w:val="21"/>
                    </w:rPr>
                    <w:t>配套防尘设备</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“★”提供产品检测报告</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农作物秸秆铡草揉丝机及</w:t>
                  </w:r>
                  <w:r>
                    <w:rPr>
                      <w:rFonts w:ascii="仿宋_GB2312" w:hAnsi="仿宋_GB2312" w:cs="仿宋_GB2312" w:eastAsia="仿宋_GB2312"/>
                      <w:sz w:val="21"/>
                    </w:rPr>
                    <w:t>青贮饲料粉碎覆膜机</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打捆覆膜机（圆捆机）电机功率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5.5KW；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工作效率每小时</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50捆，</w:t>
                  </w:r>
                </w:p>
                <w:p>
                  <w:pPr>
                    <w:pStyle w:val="null3"/>
                    <w:jc w:val="left"/>
                  </w:pPr>
                  <w:r>
                    <w:rPr>
                      <w:rFonts w:ascii="仿宋_GB2312" w:hAnsi="仿宋_GB2312" w:cs="仿宋_GB2312" w:eastAsia="仿宋_GB2312"/>
                      <w:sz w:val="21"/>
                    </w:rPr>
                    <w:t>包膜层</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left"/>
                  </w:pPr>
                  <w:r>
                    <w:rPr>
                      <w:rFonts w:ascii="仿宋_GB2312" w:hAnsi="仿宋_GB2312" w:cs="仿宋_GB2312" w:eastAsia="仿宋_GB2312"/>
                      <w:sz w:val="21"/>
                    </w:rPr>
                    <w:t>配套揉丝机动力</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输送动力</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1.5KW；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生产率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6T/h；</w:t>
                  </w:r>
                </w:p>
                <w:p>
                  <w:pPr>
                    <w:pStyle w:val="null3"/>
                    <w:jc w:val="left"/>
                  </w:pPr>
                  <w:r>
                    <w:rPr>
                      <w:rFonts w:ascii="仿宋_GB2312" w:hAnsi="仿宋_GB2312" w:cs="仿宋_GB2312" w:eastAsia="仿宋_GB2312"/>
                      <w:sz w:val="21"/>
                    </w:rPr>
                    <w:t>结构型式</w:t>
                  </w:r>
                  <w:r>
                    <w:rPr>
                      <w:rFonts w:ascii="仿宋_GB2312" w:hAnsi="仿宋_GB2312" w:cs="仿宋_GB2312" w:eastAsia="仿宋_GB2312"/>
                      <w:sz w:val="21"/>
                    </w:rPr>
                    <w:t>:锤片式</w:t>
                  </w:r>
                </w:p>
                <w:p>
                  <w:pPr>
                    <w:pStyle w:val="null3"/>
                    <w:jc w:val="left"/>
                  </w:pPr>
                  <w:r>
                    <w:rPr>
                      <w:rFonts w:ascii="仿宋_GB2312" w:hAnsi="仿宋_GB2312" w:cs="仿宋_GB2312" w:eastAsia="仿宋_GB2312"/>
                      <w:sz w:val="21"/>
                    </w:rPr>
                    <w:t>喂入方式：链条</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“★”提供农机推广鉴定检验报告或第三方检测机构出具的检验报告</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农作物秸秆转运机械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套</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轮式拖拉机（纳入农机牌证管理）</w:t>
                  </w:r>
                </w:p>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 18KW；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排放标准：</w:t>
                  </w:r>
                  <w:r>
                    <w:rPr>
                      <w:rFonts w:ascii="仿宋_GB2312" w:hAnsi="仿宋_GB2312" w:cs="仿宋_GB2312" w:eastAsia="仿宋_GB2312"/>
                      <w:sz w:val="21"/>
                    </w:rPr>
                    <w:t>≥国四标准；</w:t>
                  </w:r>
                </w:p>
                <w:p>
                  <w:pPr>
                    <w:pStyle w:val="null3"/>
                    <w:jc w:val="left"/>
                  </w:pPr>
                  <w:r>
                    <w:rPr>
                      <w:rFonts w:ascii="仿宋_GB2312" w:hAnsi="仿宋_GB2312" w:cs="仿宋_GB2312" w:eastAsia="仿宋_GB2312"/>
                      <w:sz w:val="21"/>
                    </w:rPr>
                    <w:t>内燃机种类：柴油；</w:t>
                  </w:r>
                </w:p>
                <w:p>
                  <w:pPr>
                    <w:pStyle w:val="null3"/>
                    <w:jc w:val="left"/>
                  </w:pPr>
                  <w:r>
                    <w:rPr>
                      <w:rFonts w:ascii="仿宋_GB2312" w:hAnsi="仿宋_GB2312" w:cs="仿宋_GB2312" w:eastAsia="仿宋_GB2312"/>
                      <w:sz w:val="21"/>
                    </w:rPr>
                    <w:t>前进档位数；</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后退档位数：</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农用挂车（纳入农机牌证管理）</w:t>
                  </w:r>
                </w:p>
                <w:p>
                  <w:pPr>
                    <w:pStyle w:val="null3"/>
                    <w:jc w:val="left"/>
                  </w:pPr>
                  <w:r>
                    <w:rPr>
                      <w:rFonts w:ascii="仿宋_GB2312" w:hAnsi="仿宋_GB2312" w:cs="仿宋_GB2312" w:eastAsia="仿宋_GB2312"/>
                      <w:sz w:val="21"/>
                    </w:rPr>
                    <w:t>后车厢尺寸：</w:t>
                  </w:r>
                  <w:r>
                    <w:rPr>
                      <w:rFonts w:ascii="仿宋_GB2312" w:hAnsi="仿宋_GB2312" w:cs="仿宋_GB2312" w:eastAsia="仿宋_GB2312"/>
                      <w:sz w:val="21"/>
                    </w:rPr>
                    <w:t>≥</w:t>
                  </w:r>
                  <w:r>
                    <w:rPr>
                      <w:rFonts w:ascii="仿宋_GB2312" w:hAnsi="仿宋_GB2312" w:cs="仿宋_GB2312" w:eastAsia="仿宋_GB2312"/>
                      <w:sz w:val="21"/>
                    </w:rPr>
                    <w:t>2500*1200*1000</w:t>
                  </w:r>
                  <w:r>
                    <w:rPr>
                      <w:rFonts w:ascii="仿宋_GB2312" w:hAnsi="仿宋_GB2312" w:cs="仿宋_GB2312" w:eastAsia="仿宋_GB2312"/>
                      <w:sz w:val="21"/>
                    </w:rPr>
                    <w:t>mm</w:t>
                  </w:r>
                  <w:r>
                    <w:rPr>
                      <w:rFonts w:ascii="仿宋_GB2312" w:hAnsi="仿宋_GB2312" w:cs="仿宋_GB2312" w:eastAsia="仿宋_GB2312"/>
                      <w:sz w:val="21"/>
                    </w:rPr>
                    <w:t>）带驱动；</w:t>
                  </w:r>
                </w:p>
                <w:p>
                  <w:pPr>
                    <w:pStyle w:val="null3"/>
                    <w:jc w:val="left"/>
                  </w:pPr>
                  <w:r>
                    <w:rPr>
                      <w:rFonts w:ascii="仿宋_GB2312" w:hAnsi="仿宋_GB2312" w:cs="仿宋_GB2312" w:eastAsia="仿宋_GB2312"/>
                      <w:sz w:val="21"/>
                    </w:rPr>
                    <w:t>挂车载质量：</w:t>
                  </w:r>
                  <w:r>
                    <w:rPr>
                      <w:rFonts w:ascii="仿宋_GB2312" w:hAnsi="仿宋_GB2312" w:cs="仿宋_GB2312" w:eastAsia="仿宋_GB2312"/>
                      <w:sz w:val="21"/>
                    </w:rPr>
                    <w:t>≥</w:t>
                  </w:r>
                  <w:r>
                    <w:rPr>
                      <w:rFonts w:ascii="仿宋_GB2312" w:hAnsi="仿宋_GB2312" w:cs="仿宋_GB2312" w:eastAsia="仿宋_GB2312"/>
                      <w:sz w:val="21"/>
                    </w:rPr>
                    <w:t>2000KG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功能；自卸；</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“★”提供农机推广鉴定检验报告或国家强制性认证</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秸秆粉碎还田机及配套动力</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轮式拖拉机（纳入农机牌证管理）；</w:t>
                  </w:r>
                </w:p>
                <w:p>
                  <w:pPr>
                    <w:pStyle w:val="null3"/>
                    <w:jc w:val="left"/>
                  </w:pPr>
                  <w:r>
                    <w:rPr>
                      <w:rFonts w:ascii="仿宋_GB2312" w:hAnsi="仿宋_GB2312" w:cs="仿宋_GB2312" w:eastAsia="仿宋_GB2312"/>
                      <w:sz w:val="21"/>
                    </w:rPr>
                    <w:t>秸秆粉碎还田机</w:t>
                  </w:r>
                  <w:r>
                    <w:rPr>
                      <w:rFonts w:ascii="仿宋_GB2312" w:hAnsi="仿宋_GB2312" w:cs="仿宋_GB2312" w:eastAsia="仿宋_GB2312"/>
                      <w:sz w:val="21"/>
                    </w:rPr>
                    <w:t>动力：</w:t>
                  </w:r>
                  <w:r>
                    <w:rPr>
                      <w:rFonts w:ascii="仿宋_GB2312" w:hAnsi="仿宋_GB2312" w:cs="仿宋_GB2312" w:eastAsia="仿宋_GB2312"/>
                      <w:sz w:val="21"/>
                    </w:rPr>
                    <w:t>≥</w:t>
                  </w:r>
                  <w:r>
                    <w:rPr>
                      <w:rFonts w:ascii="仿宋_GB2312" w:hAnsi="仿宋_GB2312" w:cs="仿宋_GB2312" w:eastAsia="仿宋_GB2312"/>
                      <w:sz w:val="21"/>
                    </w:rPr>
                    <w:t>51.5kw</w:t>
                  </w:r>
                  <w:r>
                    <w:rPr>
                      <w:rFonts w:ascii="仿宋_GB2312" w:hAnsi="仿宋_GB2312" w:cs="仿宋_GB2312" w:eastAsia="仿宋_GB2312"/>
                      <w:sz w:val="21"/>
                    </w:rPr>
                    <w:t>； ★</w:t>
                  </w:r>
                </w:p>
                <w:p>
                  <w:pPr>
                    <w:pStyle w:val="null3"/>
                    <w:jc w:val="left"/>
                  </w:pPr>
                  <w:r>
                    <w:rPr>
                      <w:rFonts w:ascii="仿宋_GB2312" w:hAnsi="仿宋_GB2312" w:cs="仿宋_GB2312" w:eastAsia="仿宋_GB2312"/>
                      <w:sz w:val="21"/>
                    </w:rPr>
                    <w:t>驱动型式：</w:t>
                  </w:r>
                  <w:r>
                    <w:rPr>
                      <w:rFonts w:ascii="仿宋_GB2312" w:hAnsi="仿宋_GB2312" w:cs="仿宋_GB2312" w:eastAsia="仿宋_GB2312"/>
                      <w:sz w:val="21"/>
                    </w:rPr>
                    <w:t>四驱，</w:t>
                  </w:r>
                  <w:r>
                    <w:rPr>
                      <w:rFonts w:ascii="仿宋_GB2312" w:hAnsi="仿宋_GB2312" w:cs="仿宋_GB2312" w:eastAsia="仿宋_GB2312"/>
                      <w:sz w:val="21"/>
                    </w:rPr>
                    <w:t>★</w:t>
                  </w:r>
                </w:p>
                <w:p>
                  <w:pPr>
                    <w:pStyle w:val="null3"/>
                  </w:pPr>
                  <w:r>
                    <w:rPr>
                      <w:rFonts w:ascii="仿宋_GB2312" w:hAnsi="仿宋_GB2312" w:cs="仿宋_GB2312" w:eastAsia="仿宋_GB2312"/>
                      <w:sz w:val="21"/>
                    </w:rPr>
                    <w:t>排放标准：</w:t>
                  </w:r>
                  <w:r>
                    <w:rPr>
                      <w:rFonts w:ascii="仿宋_GB2312" w:hAnsi="仿宋_GB2312" w:cs="仿宋_GB2312" w:eastAsia="仿宋_GB2312"/>
                      <w:sz w:val="21"/>
                    </w:rPr>
                    <w:t>≥国四标准；</w:t>
                  </w:r>
                </w:p>
                <w:p>
                  <w:pPr>
                    <w:pStyle w:val="null3"/>
                  </w:pPr>
                  <w:r>
                    <w:rPr>
                      <w:rFonts w:ascii="仿宋_GB2312" w:hAnsi="仿宋_GB2312" w:cs="仿宋_GB2312" w:eastAsia="仿宋_GB2312"/>
                      <w:sz w:val="21"/>
                    </w:rPr>
                    <w:t>液压输出：</w:t>
                  </w:r>
                  <w:r>
                    <w:rPr>
                      <w:rFonts w:ascii="仿宋_GB2312" w:hAnsi="仿宋_GB2312" w:cs="仿宋_GB2312" w:eastAsia="仿宋_GB2312"/>
                      <w:sz w:val="21"/>
                    </w:rPr>
                    <w:t>≥两组；</w:t>
                  </w:r>
                </w:p>
                <w:p>
                  <w:pPr>
                    <w:pStyle w:val="null3"/>
                    <w:jc w:val="left"/>
                  </w:pPr>
                  <w:r>
                    <w:rPr>
                      <w:rFonts w:ascii="仿宋_GB2312" w:hAnsi="仿宋_GB2312" w:cs="仿宋_GB2312" w:eastAsia="仿宋_GB2312"/>
                      <w:sz w:val="21"/>
                    </w:rPr>
                    <w:t>配带遮阳棚及定位终端；</w:t>
                  </w:r>
                </w:p>
                <w:p>
                  <w:pPr>
                    <w:pStyle w:val="null3"/>
                  </w:pPr>
                  <w:r>
                    <w:rPr>
                      <w:rFonts w:ascii="仿宋_GB2312" w:hAnsi="仿宋_GB2312" w:cs="仿宋_GB2312" w:eastAsia="仿宋_GB2312"/>
                      <w:sz w:val="21"/>
                    </w:rPr>
                    <w:t>作</w:t>
                  </w:r>
                  <w:r>
                    <w:rPr>
                      <w:rFonts w:ascii="仿宋_GB2312" w:hAnsi="仿宋_GB2312" w:cs="仿宋_GB2312" w:eastAsia="仿宋_GB2312"/>
                      <w:sz w:val="21"/>
                    </w:rPr>
                    <w:t>动力输出转速</w:t>
                  </w:r>
                  <w:r>
                    <w:rPr>
                      <w:rFonts w:ascii="仿宋_GB2312" w:hAnsi="仿宋_GB2312" w:cs="仿宋_GB2312" w:eastAsia="仿宋_GB2312"/>
                      <w:sz w:val="21"/>
                    </w:rPr>
                    <w:t>(r/min)：≥540；</w:t>
                  </w:r>
                </w:p>
                <w:p>
                  <w:pPr>
                    <w:pStyle w:val="null3"/>
                  </w:pPr>
                  <w:r>
                    <w:rPr>
                      <w:rFonts w:ascii="仿宋_GB2312" w:hAnsi="仿宋_GB2312" w:cs="仿宋_GB2312" w:eastAsia="仿宋_GB2312"/>
                      <w:sz w:val="21"/>
                    </w:rPr>
                    <w:t>排挡数：</w:t>
                  </w:r>
                  <w:r>
                    <w:rPr>
                      <w:rFonts w:ascii="仿宋_GB2312" w:hAnsi="仿宋_GB2312" w:cs="仿宋_GB2312" w:eastAsia="仿宋_GB2312"/>
                      <w:sz w:val="21"/>
                    </w:rPr>
                    <w:t>≥8；</w:t>
                  </w:r>
                </w:p>
                <w:p>
                  <w:pPr>
                    <w:pStyle w:val="null3"/>
                  </w:pPr>
                  <w:r>
                    <w:rPr>
                      <w:rFonts w:ascii="仿宋_GB2312" w:hAnsi="仿宋_GB2312" w:cs="仿宋_GB2312" w:eastAsia="仿宋_GB2312"/>
                      <w:sz w:val="21"/>
                    </w:rPr>
                    <w:t>注：</w:t>
                  </w:r>
                  <w:r>
                    <w:rPr>
                      <w:rFonts w:ascii="仿宋_GB2312" w:hAnsi="仿宋_GB2312" w:cs="仿宋_GB2312" w:eastAsia="仿宋_GB2312"/>
                      <w:sz w:val="21"/>
                    </w:rPr>
                    <w:t>“★”提供农机推广鉴定检验报告或国家强制性认证</w:t>
                  </w:r>
                </w:p>
                <w:p>
                  <w:pPr>
                    <w:pStyle w:val="null3"/>
                  </w:pPr>
                  <w:r>
                    <w:rPr>
                      <w:rFonts w:ascii="仿宋_GB2312" w:hAnsi="仿宋_GB2312" w:cs="仿宋_GB2312" w:eastAsia="仿宋_GB2312"/>
                      <w:sz w:val="21"/>
                    </w:rPr>
                    <w:t>作业幅宽：</w:t>
                  </w:r>
                  <w:r>
                    <w:rPr>
                      <w:rFonts w:ascii="仿宋_GB2312" w:hAnsi="仿宋_GB2312" w:cs="仿宋_GB2312" w:eastAsia="仿宋_GB2312"/>
                      <w:sz w:val="21"/>
                    </w:rPr>
                    <w:t>≥150cm；</w:t>
                  </w:r>
                </w:p>
                <w:p>
                  <w:pPr>
                    <w:pStyle w:val="null3"/>
                    <w:jc w:val="left"/>
                  </w:pPr>
                  <w:r>
                    <w:rPr>
                      <w:rFonts w:ascii="仿宋_GB2312" w:hAnsi="仿宋_GB2312" w:cs="仿宋_GB2312" w:eastAsia="仿宋_GB2312"/>
                      <w:sz w:val="21"/>
                    </w:rPr>
                    <w:t>刀片数量：弯刀</w:t>
                  </w:r>
                  <w:r>
                    <w:rPr>
                      <w:rFonts w:ascii="仿宋_GB2312" w:hAnsi="仿宋_GB2312" w:cs="仿宋_GB2312" w:eastAsia="仿宋_GB2312"/>
                      <w:sz w:val="21"/>
                    </w:rPr>
                    <w:t>≥60、直刀≥30。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自走式玉米收获机</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自走式玉米收获机</w:t>
                  </w:r>
                  <w:r>
                    <w:rPr>
                      <w:rFonts w:ascii="仿宋_GB2312" w:hAnsi="仿宋_GB2312" w:cs="仿宋_GB2312" w:eastAsia="仿宋_GB2312"/>
                      <w:sz w:val="21"/>
                    </w:rPr>
                    <w:t>（纳入农机牌证管理）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作业行数：</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行；</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 xml:space="preserve">≥ </w:t>
                  </w:r>
                  <w:r>
                    <w:rPr>
                      <w:rFonts w:ascii="仿宋_GB2312" w:hAnsi="仿宋_GB2312" w:cs="仿宋_GB2312" w:eastAsia="仿宋_GB2312"/>
                      <w:sz w:val="21"/>
                    </w:rPr>
                    <w:t>73.6</w:t>
                  </w:r>
                  <w:r>
                    <w:rPr>
                      <w:rFonts w:ascii="仿宋_GB2312" w:hAnsi="仿宋_GB2312" w:cs="仿宋_GB2312" w:eastAsia="仿宋_GB2312"/>
                      <w:sz w:val="21"/>
                    </w:rPr>
                    <w:t>KW；</w:t>
                  </w:r>
                  <w:r>
                    <w:rPr>
                      <w:rFonts w:ascii="仿宋_GB2312" w:hAnsi="仿宋_GB2312" w:cs="仿宋_GB2312" w:eastAsia="仿宋_GB2312"/>
                      <w:sz w:val="21"/>
                    </w:rPr>
                    <w:t>★</w:t>
                  </w:r>
                </w:p>
                <w:p>
                  <w:pPr>
                    <w:pStyle w:val="null3"/>
                  </w:pPr>
                  <w:r>
                    <w:rPr>
                      <w:rFonts w:ascii="仿宋_GB2312" w:hAnsi="仿宋_GB2312" w:cs="仿宋_GB2312" w:eastAsia="仿宋_GB2312"/>
                      <w:sz w:val="21"/>
                    </w:rPr>
                    <w:t>排放标准：</w:t>
                  </w:r>
                  <w:r>
                    <w:rPr>
                      <w:rFonts w:ascii="仿宋_GB2312" w:hAnsi="仿宋_GB2312" w:cs="仿宋_GB2312" w:eastAsia="仿宋_GB2312"/>
                      <w:sz w:val="21"/>
                    </w:rPr>
                    <w:t>≥国四标准；</w:t>
                  </w:r>
                </w:p>
                <w:p>
                  <w:pPr>
                    <w:pStyle w:val="null3"/>
                    <w:jc w:val="left"/>
                  </w:pPr>
                  <w:r>
                    <w:rPr>
                      <w:rFonts w:ascii="仿宋_GB2312" w:hAnsi="仿宋_GB2312" w:cs="仿宋_GB2312" w:eastAsia="仿宋_GB2312"/>
                      <w:sz w:val="21"/>
                    </w:rPr>
                    <w:t>配简易式驾驶室；</w:t>
                  </w:r>
                </w:p>
                <w:p>
                  <w:pPr>
                    <w:pStyle w:val="null3"/>
                    <w:jc w:val="left"/>
                  </w:pPr>
                  <w:r>
                    <w:rPr>
                      <w:rFonts w:ascii="仿宋_GB2312" w:hAnsi="仿宋_GB2312" w:cs="仿宋_GB2312" w:eastAsia="仿宋_GB2312"/>
                      <w:sz w:val="21"/>
                    </w:rPr>
                    <w:t>结构形式：履带式</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“★”提供农机推广鉴定检验报告或国家强制性认证</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1"/>
                    </w:rPr>
                    <w:t>秸秆全喂入割台</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件</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作业行数：</w:t>
                  </w:r>
                  <w:r>
                    <w:rPr>
                      <w:rFonts w:ascii="仿宋_GB2312" w:hAnsi="仿宋_GB2312" w:cs="仿宋_GB2312" w:eastAsia="仿宋_GB2312"/>
                      <w:sz w:val="21"/>
                    </w:rPr>
                    <w:t>≥5行；</w:t>
                  </w:r>
                </w:p>
                <w:p>
                  <w:pPr>
                    <w:pStyle w:val="null3"/>
                    <w:jc w:val="left"/>
                  </w:pPr>
                  <w:r>
                    <w:rPr>
                      <w:rFonts w:ascii="仿宋_GB2312" w:hAnsi="仿宋_GB2312" w:cs="仿宋_GB2312" w:eastAsia="仿宋_GB2312"/>
                      <w:sz w:val="21"/>
                    </w:rPr>
                    <w:t>工作效率：</w:t>
                  </w:r>
                  <w:r>
                    <w:rPr>
                      <w:rFonts w:ascii="仿宋_GB2312" w:hAnsi="仿宋_GB2312" w:cs="仿宋_GB2312" w:eastAsia="仿宋_GB2312"/>
                      <w:sz w:val="21"/>
                    </w:rPr>
                    <w:t>≥8亩/小时；</w:t>
                  </w:r>
                </w:p>
                <w:p>
                  <w:pPr>
                    <w:pStyle w:val="null3"/>
                    <w:jc w:val="left"/>
                  </w:pPr>
                  <w:r>
                    <w:rPr>
                      <w:rFonts w:ascii="仿宋_GB2312" w:hAnsi="仿宋_GB2312" w:cs="仿宋_GB2312" w:eastAsia="仿宋_GB2312"/>
                      <w:sz w:val="21"/>
                    </w:rPr>
                    <w:t>工作幅宽：</w:t>
                  </w:r>
                  <w:r>
                    <w:rPr>
                      <w:rFonts w:ascii="仿宋_GB2312" w:hAnsi="仿宋_GB2312" w:cs="仿宋_GB2312" w:eastAsia="仿宋_GB2312"/>
                      <w:sz w:val="21"/>
                    </w:rPr>
                    <w:t>≥2.3米；</w:t>
                  </w:r>
                </w:p>
                <w:p>
                  <w:pPr>
                    <w:pStyle w:val="null3"/>
                    <w:jc w:val="left"/>
                  </w:pPr>
                  <w:r>
                    <w:rPr>
                      <w:rFonts w:ascii="仿宋_GB2312" w:hAnsi="仿宋_GB2312" w:cs="仿宋_GB2312" w:eastAsia="仿宋_GB2312"/>
                      <w:sz w:val="21"/>
                    </w:rPr>
                    <w:t>结构形式：卧式悬挂；</w:t>
                  </w:r>
                </w:p>
                <w:p>
                  <w:pPr>
                    <w:pStyle w:val="null3"/>
                    <w:jc w:val="left"/>
                  </w:pPr>
                  <w:r>
                    <w:rPr>
                      <w:rFonts w:ascii="仿宋_GB2312" w:hAnsi="仿宋_GB2312" w:cs="仿宋_GB2312" w:eastAsia="仿宋_GB2312"/>
                      <w:sz w:val="21"/>
                    </w:rPr>
                    <w:t>适配</w:t>
                  </w:r>
                  <w:r>
                    <w:rPr>
                      <w:rFonts w:ascii="仿宋_GB2312" w:hAnsi="仿宋_GB2312" w:cs="仿宋_GB2312" w:eastAsia="仿宋_GB2312"/>
                      <w:sz w:val="21"/>
                    </w:rPr>
                    <w:t>CX108联合收割机</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210"/>
                    <w:jc w:val="center"/>
                  </w:pPr>
                  <w:r>
                    <w:rPr>
                      <w:rFonts w:ascii="仿宋_GB2312" w:hAnsi="仿宋_GB2312" w:cs="仿宋_GB2312" w:eastAsia="仿宋_GB2312"/>
                      <w:sz w:val="24"/>
                    </w:rPr>
                    <w:t>移动式秸秆粉碎压块机</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功率：单缸</w:t>
                  </w:r>
                  <w:r>
                    <w:rPr>
                      <w:rFonts w:ascii="仿宋_GB2312" w:hAnsi="仿宋_GB2312" w:cs="仿宋_GB2312" w:eastAsia="仿宋_GB2312"/>
                      <w:sz w:val="21"/>
                    </w:rPr>
                    <w:t>≥32马力</w:t>
                  </w:r>
                </w:p>
                <w:p>
                  <w:pPr>
                    <w:pStyle w:val="null3"/>
                    <w:jc w:val="left"/>
                  </w:pPr>
                  <w:r>
                    <w:rPr>
                      <w:rFonts w:ascii="仿宋_GB2312" w:hAnsi="仿宋_GB2312" w:cs="仿宋_GB2312" w:eastAsia="仿宋_GB2312"/>
                      <w:sz w:val="21"/>
                    </w:rPr>
                    <w:t>档位数：</w:t>
                  </w:r>
                  <w:r>
                    <w:rPr>
                      <w:rFonts w:ascii="仿宋_GB2312" w:hAnsi="仿宋_GB2312" w:cs="仿宋_GB2312" w:eastAsia="仿宋_GB2312"/>
                      <w:sz w:val="21"/>
                    </w:rPr>
                    <w:t>≥4</w:t>
                  </w:r>
                </w:p>
                <w:p>
                  <w:pPr>
                    <w:pStyle w:val="null3"/>
                    <w:jc w:val="left"/>
                  </w:pPr>
                  <w:r>
                    <w:rPr>
                      <w:rFonts w:ascii="仿宋_GB2312" w:hAnsi="仿宋_GB2312" w:cs="仿宋_GB2312" w:eastAsia="仿宋_GB2312"/>
                      <w:sz w:val="21"/>
                    </w:rPr>
                    <w:t>工作效率：</w:t>
                  </w:r>
                  <w:r>
                    <w:rPr>
                      <w:rFonts w:ascii="仿宋_GB2312" w:hAnsi="仿宋_GB2312" w:cs="仿宋_GB2312" w:eastAsia="仿宋_GB2312"/>
                      <w:sz w:val="21"/>
                    </w:rPr>
                    <w:t>≥120包/h</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合计</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供货安装期限15天，质保期：1年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略阳县接官亭镇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 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报价是否超过竞争性谈判文件中规定的预算金额或者最高限价</w:t>
            </w:r>
          </w:p>
        </w:tc>
        <w:tc>
          <w:tcPr>
            <w:tcW w:type="dxa" w:w="3322"/>
          </w:tcPr>
          <w:p>
            <w:pPr>
              <w:pStyle w:val="null3"/>
            </w:pPr>
            <w:r>
              <w:rPr>
                <w:rFonts w:ascii="仿宋_GB2312" w:hAnsi="仿宋_GB2312" w:cs="仿宋_GB2312" w:eastAsia="仿宋_GB2312"/>
              </w:rPr>
              <w:t>报价未超过竞争性谈判文件中规定的预算金额或者最高限价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中小企业声明函 商务应答表 项目整体实施方案.docx 报价表 供应商认为需要说明的其他内容.docx 控股承诺.docx 响应文件封面 分项报价表.docx 产品技术参数表 汉中市政府采购供应商资格承诺函.pdf 供应商应提交的相关资格证明材料.docx 残疾人福利性单位声明函 保证金.pdf 标的清单 响应函 法定代表人证明书及授权委托书.pdf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产品技术参数</w:t>
            </w:r>
          </w:p>
        </w:tc>
        <w:tc>
          <w:tcPr>
            <w:tcW w:type="dxa" w:w="3322"/>
          </w:tcPr>
          <w:p>
            <w:pPr>
              <w:pStyle w:val="null3"/>
            </w:pPr>
            <w:r>
              <w:rPr>
                <w:rFonts w:ascii="仿宋_GB2312" w:hAnsi="仿宋_GB2312" w:cs="仿宋_GB2312" w:eastAsia="仿宋_GB2312"/>
              </w:rPr>
              <w:t>产品技术参数满足采购文件要求</w:t>
            </w:r>
          </w:p>
        </w:tc>
        <w:tc>
          <w:tcPr>
            <w:tcW w:type="dxa" w:w="1661"/>
          </w:tcPr>
          <w:p>
            <w:pPr>
              <w:pStyle w:val="null3"/>
            </w:pPr>
            <w:r>
              <w:rPr>
                <w:rFonts w:ascii="仿宋_GB2312" w:hAnsi="仿宋_GB2312" w:cs="仿宋_GB2312" w:eastAsia="仿宋_GB2312"/>
              </w:rPr>
              <w:t>响应文件封面 产品技术参数表 分项报价表.docx 商务应答表 项目整体实施方案.docx 供应商认为需要说明的其他内容.docx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详见附件：项目整体实施方案.docx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