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版本号：SBRTZ-202600420260130001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略阳县五龙洞镇三产融合示范园建设项目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SBRTZ-2026004</w:t>
      </w:r>
      <w:r>
        <w:br/>
      </w:r>
      <w:r>
        <w:br/>
      </w:r>
      <w:r>
        <w:br/>
      </w:r>
    </w:p>
    <w:p>
      <w:pPr>
        <w:pStyle w:val="null3"/>
        <w:jc w:val="center"/>
        <w:outlineLvl w:val="2"/>
      </w:pPr>
      <w:r>
        <w:rPr>
          <w:rFonts w:ascii="仿宋_GB2312" w:hAnsi="仿宋_GB2312" w:cs="仿宋_GB2312" w:eastAsia="仿宋_GB2312"/>
          <w:sz w:val="28"/>
          <w:b/>
        </w:rPr>
        <w:t>略阳县五龙洞镇人民政府</w:t>
      </w:r>
    </w:p>
    <w:p>
      <w:pPr>
        <w:pStyle w:val="null3"/>
        <w:jc w:val="center"/>
        <w:outlineLvl w:val="2"/>
      </w:pPr>
      <w:r>
        <w:rPr>
          <w:rFonts w:ascii="仿宋_GB2312" w:hAnsi="仿宋_GB2312" w:cs="仿宋_GB2312" w:eastAsia="仿宋_GB2312"/>
          <w:sz w:val="28"/>
          <w:b/>
        </w:rPr>
        <w:t>陕西博锐特项目管理有限公司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陕西博锐特项目管理有限公司</w:t>
      </w:r>
      <w:r>
        <w:rPr>
          <w:rFonts w:ascii="仿宋_GB2312" w:hAnsi="仿宋_GB2312" w:cs="仿宋_GB2312" w:eastAsia="仿宋_GB2312"/>
        </w:rPr>
        <w:t>（以下简称“代理机构”）受</w:t>
      </w:r>
      <w:r>
        <w:rPr>
          <w:rFonts w:ascii="仿宋_GB2312" w:hAnsi="仿宋_GB2312" w:cs="仿宋_GB2312" w:eastAsia="仿宋_GB2312"/>
        </w:rPr>
        <w:t>略阳县五龙洞镇人民政府</w:t>
      </w:r>
      <w:r>
        <w:rPr>
          <w:rFonts w:ascii="仿宋_GB2312" w:hAnsi="仿宋_GB2312" w:cs="仿宋_GB2312" w:eastAsia="仿宋_GB2312"/>
        </w:rPr>
        <w:t>委托，拟对</w:t>
      </w:r>
      <w:r>
        <w:rPr>
          <w:rFonts w:ascii="仿宋_GB2312" w:hAnsi="仿宋_GB2312" w:cs="仿宋_GB2312" w:eastAsia="仿宋_GB2312"/>
        </w:rPr>
        <w:t>略阳县五龙洞镇三产融合示范园建设项目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SBRTZ-2026004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略阳县五龙洞镇三产融合示范园建设项目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对已建成的三产融合示范园建筑进行设施提升，装修综合楼30余间，1200余平米，同步对900余平米外墙进行氐羌文化原素改造，配套完善水电管网等附属设施。工期：180日历天，质量达到合格标准。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采购包1（示范园建设）：属于专门面向中小企业采购。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pPr>
      <w:r>
        <w:rPr>
          <w:rFonts w:ascii="仿宋_GB2312" w:hAnsi="仿宋_GB2312" w:cs="仿宋_GB2312" w:eastAsia="仿宋_GB2312"/>
        </w:rPr>
        <w:t>3、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4、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略阳县五龙洞镇人民政府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五龙洞镇中川坝村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0916-4956011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陕西博锐特项目管理有限公司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0916-2233355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开户名称：陕西博锐特项目管理有限公司汉中分公司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略阳县五龙洞镇人民政府</w:t>
      </w:r>
      <w:r>
        <w:rPr>
          <w:rFonts w:ascii="仿宋_GB2312" w:hAnsi="仿宋_GB2312" w:cs="仿宋_GB2312" w:eastAsia="仿宋_GB2312"/>
        </w:rPr>
        <w:t>和</w:t>
      </w:r>
      <w:r>
        <w:rPr>
          <w:rFonts w:ascii="仿宋_GB2312" w:hAnsi="仿宋_GB2312" w:cs="仿宋_GB2312" w:eastAsia="仿宋_GB2312"/>
        </w:rPr>
        <w:t>陕西博锐特项目管理有限公司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略阳县五龙洞镇人民政府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陕西博锐特项目管理有限公司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略阳县五龙洞镇人民政府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陕西博锐特项目管理有限公司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联系人：雷先生</w:t>
      </w:r>
    </w:p>
    <w:p>
      <w:pPr>
        <w:pStyle w:val="null3"/>
      </w:pPr>
      <w:r>
        <w:rPr>
          <w:rFonts w:ascii="仿宋_GB2312" w:hAnsi="仿宋_GB2312" w:cs="仿宋_GB2312" w:eastAsia="仿宋_GB2312"/>
        </w:rPr>
        <w:t>联系电话：0916-2233355</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2,599,400.00</w:t>
      </w:r>
    </w:p>
    <w:p>
      <w:pPr>
        <w:pStyle w:val="null3"/>
      </w:pPr>
      <w:r>
        <w:rPr>
          <w:rFonts w:ascii="仿宋_GB2312" w:hAnsi="仿宋_GB2312" w:cs="仿宋_GB2312" w:eastAsia="仿宋_GB2312"/>
        </w:rPr>
        <w:t>采购包最高限价（元）: 2,599,400.00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示范园建设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2,599,400.00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标的名称：示范园建设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1、采用转账支票或银行电汇形式提交的投标保证金必须从其基本账户转出，须在进账单或电汇单注明项目名称。2、 采用银行保函形式提交投标保证金的，应用基本账户保函的银行或市级银行。注:1.须将原件于投标截止时间前交至代理机构 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法定代表人证明书或授权委托书.docx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拟派项目经理具备建筑工程二级（含二级）以上注册建造师资格，并具有相关主管部门颁发的B类安全生产考核合格证书，且未担任其他在建工程的项目经理，无不良记录。</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 供应商认为需要说明的其他内容.docx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应按照竞争性磋商文件要求签署、盖章</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 响应函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确保工程质量的技术组织措施.docx</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确保安全生产、文明施工的技术组织措施及环境保护措施.docx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确保工期的技术组织措施.docx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施工方案完整详细、项目部人员岗位配置齐全充足计10.1-15分；施工方案较为简单、项目部组成基本满足施工要求计5.1-10分；施工方案有缺漏，项目部组成不够完善计1.0-5分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施工方案和项目经理部组成人员.docx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质量保证及服务承诺详尽，符合项目特点计6.1-10分；保证措施及服务承诺较为简单计3.1-6分；保证措施及服务承诺不够完善计1-3分。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质量保证及服务承诺.docx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详见附件：法定代表人证明书或授权委托书.docx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详见附件：确保安全生产、文明施工的技术组织措施及环境保护措施.docx</w:t>
      </w:r>
    </w:p>
    <w:p>
      <w:pPr>
        <w:pStyle w:val="null3"/>
        <w:ind w:firstLine="960"/>
      </w:pPr>
      <w:r>
        <w:rPr>
          <w:rFonts w:ascii="仿宋_GB2312" w:hAnsi="仿宋_GB2312" w:cs="仿宋_GB2312" w:eastAsia="仿宋_GB2312"/>
        </w:rPr>
        <w:t>详见附件：确保工程质量的技术组织措施.docx</w:t>
      </w:r>
    </w:p>
    <w:p>
      <w:pPr>
        <w:pStyle w:val="null3"/>
        <w:ind w:firstLine="960"/>
      </w:pPr>
      <w:r>
        <w:rPr>
          <w:rFonts w:ascii="仿宋_GB2312" w:hAnsi="仿宋_GB2312" w:cs="仿宋_GB2312" w:eastAsia="仿宋_GB2312"/>
        </w:rPr>
        <w:t>详见附件：确保工期的技术组织措施.docx</w:t>
      </w:r>
    </w:p>
    <w:p>
      <w:pPr>
        <w:pStyle w:val="null3"/>
        <w:ind w:firstLine="960"/>
      </w:pPr>
      <w:r>
        <w:rPr>
          <w:rFonts w:ascii="仿宋_GB2312" w:hAnsi="仿宋_GB2312" w:cs="仿宋_GB2312" w:eastAsia="仿宋_GB2312"/>
        </w:rPr>
        <w:t>详见附件：施工方案和项目经理部组成人员.docx</w:t>
      </w:r>
    </w:p>
    <w:p>
      <w:pPr>
        <w:pStyle w:val="null3"/>
        <w:ind w:firstLine="960"/>
      </w:pPr>
      <w:r>
        <w:rPr>
          <w:rFonts w:ascii="仿宋_GB2312" w:hAnsi="仿宋_GB2312" w:cs="仿宋_GB2312" w:eastAsia="仿宋_GB2312"/>
        </w:rPr>
        <w:t>详见附件：质量保证及服务承诺.docx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