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版本号：RDZX-2026-00220260106001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略阳县白水江镇长征文化主题公园建设工程采购项目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RDZX-2026-002</w:t>
      </w:r>
      <w:r>
        <w:br/>
      </w:r>
      <w:r>
        <w:br/>
      </w:r>
      <w:r>
        <w:br/>
      </w:r>
    </w:p>
    <w:p>
      <w:pPr>
        <w:pStyle w:val="null3"/>
        <w:jc w:val="center"/>
        <w:outlineLvl w:val="2"/>
      </w:pPr>
      <w:r>
        <w:rPr>
          <w:rFonts w:ascii="仿宋_GB2312" w:hAnsi="仿宋_GB2312" w:cs="仿宋_GB2312" w:eastAsia="仿宋_GB2312"/>
          <w:sz w:val="28"/>
          <w:b/>
        </w:rPr>
        <w:t>略阳县白水江镇人民政府</w:t>
      </w:r>
    </w:p>
    <w:p>
      <w:pPr>
        <w:pStyle w:val="null3"/>
        <w:jc w:val="center"/>
        <w:outlineLvl w:val="2"/>
      </w:pPr>
      <w:r>
        <w:rPr>
          <w:rFonts w:ascii="仿宋_GB2312" w:hAnsi="仿宋_GB2312" w:cs="仿宋_GB2312" w:eastAsia="仿宋_GB2312"/>
          <w:sz w:val="28"/>
          <w:b/>
        </w:rPr>
        <w:t>陕西荣德正信项目管理有限公司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陕西荣德正信项目管理有限公司</w:t>
      </w:r>
      <w:r>
        <w:rPr>
          <w:rFonts w:ascii="仿宋_GB2312" w:hAnsi="仿宋_GB2312" w:cs="仿宋_GB2312" w:eastAsia="仿宋_GB2312"/>
        </w:rPr>
        <w:t>（以下简称“代理机构”）受</w:t>
      </w:r>
      <w:r>
        <w:rPr>
          <w:rFonts w:ascii="仿宋_GB2312" w:hAnsi="仿宋_GB2312" w:cs="仿宋_GB2312" w:eastAsia="仿宋_GB2312"/>
        </w:rPr>
        <w:t>略阳县白水江镇人民政府</w:t>
      </w:r>
      <w:r>
        <w:rPr>
          <w:rFonts w:ascii="仿宋_GB2312" w:hAnsi="仿宋_GB2312" w:cs="仿宋_GB2312" w:eastAsia="仿宋_GB2312"/>
        </w:rPr>
        <w:t>委托，拟对</w:t>
      </w:r>
      <w:r>
        <w:rPr>
          <w:rFonts w:ascii="仿宋_GB2312" w:hAnsi="仿宋_GB2312" w:cs="仿宋_GB2312" w:eastAsia="仿宋_GB2312"/>
        </w:rPr>
        <w:t>略阳县白水江镇长征文化主题公园建设工程采购项目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RDZX-2026-002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略阳县白水江镇长征文化主题公园建设工程采购项目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陕西省略阳县白水江镇,略阳县城以北54公里处嘉陵江西岸，具体建设内容为:新建古渡驿站，建筑层数:1层，建筑面积75.46m2;基础型式:独立基础;结构类型:框架结构;檐高2.9米;新建游客中心，建筑层数:2层，建筑面积226.92m2;基础型式:独立基础;结构类型:框架结构;檐高6.6米;室外改造白水江镇长征文化公园、红歌广场包含道路、铺装、雕塑、景墙以及绿化工程、土方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采购包1（略阳县白水江镇长征文化主题公园建设工程采购项目）：属于专门面向中小企业采购。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3、供应商资质：供应商具备建筑工程施工总承包三级及以上资质，及有效的安全生产许可证；</w:t>
      </w:r>
    </w:p>
    <w:p>
      <w:pPr>
        <w:pStyle w:val="null3"/>
      </w:pPr>
      <w:r>
        <w:rPr>
          <w:rFonts w:ascii="仿宋_GB2312" w:hAnsi="仿宋_GB2312" w:cs="仿宋_GB2312" w:eastAsia="仿宋_GB2312"/>
        </w:rPr>
        <w:t>4、项目负责人：项目负责人需具备建筑工程专业二级及以上注册建造师证书和安全生产考核合格证（B证），且无在建工程项目（提供承诺函）；</w:t>
      </w:r>
    </w:p>
    <w:p>
      <w:pPr>
        <w:pStyle w:val="null3"/>
      </w:pPr>
      <w:r>
        <w:rPr>
          <w:rFonts w:ascii="仿宋_GB2312" w:hAnsi="仿宋_GB2312" w:cs="仿宋_GB2312" w:eastAsia="仿宋_GB2312"/>
        </w:rPr>
        <w:t>5、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6、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略阳县白水江镇人民政府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陕西省汉中市略阳县白水江镇江镇社区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略阳县白水江镇人民政府经办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13892699512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陕西荣德正信项目管理有限公司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陕西省汉中市汉台区汉中路办事处明珠路8号汉府公馆办公楼6层0604号办公房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0916-2128988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采购包1：3,830,700.00元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开户名称：陕西荣德正信项目管理有限公司</w:t>
            </w:r>
          </w:p>
          <w:p>
            <w:pPr>
              <w:pStyle w:val="null3"/>
            </w:pPr>
            <w:r>
              <w:rPr>
                <w:rFonts w:ascii="仿宋_GB2312" w:hAnsi="仿宋_GB2312" w:cs="仿宋_GB2312" w:eastAsia="仿宋_GB2312"/>
              </w:rPr>
              <w:t>开户银行：西安银行股份有限公司汉中分行</w:t>
            </w:r>
          </w:p>
          <w:p>
            <w:pPr>
              <w:pStyle w:val="null3"/>
            </w:pPr>
            <w:r>
              <w:rPr>
                <w:rFonts w:ascii="仿宋_GB2312" w:hAnsi="仿宋_GB2312" w:cs="仿宋_GB2312" w:eastAsia="仿宋_GB2312"/>
              </w:rPr>
              <w:t>银行账号：451011580000081743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说明：银行转账/支票/汇票/本票/保函/保险</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代理服务费收费标准：经甲乙双方协商确定，采购代理服务费参照《招标代理服务收费管理暂行办法》计价格【2002】1980号、发改办价格【2003】857号中规定的收费标准，由 成交人 在领取成交（中标）通知书时一次付清。 造价咨询费服务费按陕价行发[2014]88号标准收取，由 采购人 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略阳县白水江镇人民政府</w:t>
      </w:r>
      <w:r>
        <w:rPr>
          <w:rFonts w:ascii="仿宋_GB2312" w:hAnsi="仿宋_GB2312" w:cs="仿宋_GB2312" w:eastAsia="仿宋_GB2312"/>
        </w:rPr>
        <w:t>和</w:t>
      </w:r>
      <w:r>
        <w:rPr>
          <w:rFonts w:ascii="仿宋_GB2312" w:hAnsi="仿宋_GB2312" w:cs="仿宋_GB2312" w:eastAsia="仿宋_GB2312"/>
        </w:rPr>
        <w:t>陕西荣德正信项目管理有限公司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略阳县白水江镇人民政府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陕西荣德正信项目管理有限公司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略阳县白水江镇人民政府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陕西荣德正信项目管理有限公司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陕西荣德正信项目管理有限公司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陕西荣德正信项目管理有限公司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陕西荣德正信项目管理有限公司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联系电话：0916-2128988</w:t>
      </w:r>
    </w:p>
    <w:p>
      <w:pPr>
        <w:pStyle w:val="null3"/>
      </w:pPr>
      <w:r>
        <w:rPr>
          <w:rFonts w:ascii="仿宋_GB2312" w:hAnsi="仿宋_GB2312" w:cs="仿宋_GB2312" w:eastAsia="仿宋_GB2312"/>
        </w:rPr>
        <w:t>地址：汉台区明珠路8号汉府公馆B座办公楼6层604号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3,830,700.00</w:t>
      </w:r>
    </w:p>
    <w:p>
      <w:pPr>
        <w:pStyle w:val="null3"/>
      </w:pPr>
      <w:r>
        <w:rPr>
          <w:rFonts w:ascii="仿宋_GB2312" w:hAnsi="仿宋_GB2312" w:cs="仿宋_GB2312" w:eastAsia="仿宋_GB2312"/>
        </w:rPr>
        <w:t>采购包最高限价（元）: 3,830,700.00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采购工程新建游客接待中心古渡驿站各1座新建公园标识系统景观小品科普牌配套实施公园铺装土石方开挖绿化给排水电气等设施工程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3,830,700.00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标的名称：采购工程新建游客接待中心古渡驿站各1座新建公园标识系统景观小品科普牌配套实施公园铺装土石方开挖绿化给排水电气等设施工程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1、工程量清单(见附件）</w:t>
            </w:r>
          </w:p>
          <w:p>
            <w:pPr>
              <w:pStyle w:val="null3"/>
              <w:jc w:val="left"/>
            </w:pPr>
            <w:r>
              <w:rPr>
                <w:rFonts w:ascii="仿宋_GB2312" w:hAnsi="仿宋_GB2312" w:cs="仿宋_GB2312" w:eastAsia="仿宋_GB2312"/>
                <w:sz w:val="24"/>
                <w:b/>
                <w:color w:val="000000"/>
              </w:rPr>
              <w:t>2、招标范围：</w:t>
            </w:r>
            <w:r>
              <w:rPr>
                <w:rFonts w:ascii="仿宋_GB2312" w:hAnsi="仿宋_GB2312" w:cs="仿宋_GB2312" w:eastAsia="仿宋_GB2312"/>
                <w:sz w:val="24"/>
                <w:color w:val="000000"/>
              </w:rPr>
              <w:t>施工图设计范围内、工程量清单内的全部内容，</w:t>
            </w:r>
            <w:r>
              <w:rPr>
                <w:rFonts w:ascii="仿宋_GB2312" w:hAnsi="仿宋_GB2312" w:cs="仿宋_GB2312" w:eastAsia="仿宋_GB2312"/>
                <w:sz w:val="24"/>
                <w:color w:val="000000"/>
              </w:rPr>
              <w:t>（</w:t>
            </w:r>
            <w:r>
              <w:rPr>
                <w:rFonts w:ascii="仿宋_GB2312" w:hAnsi="仿宋_GB2312" w:cs="仿宋_GB2312" w:eastAsia="仿宋_GB2312"/>
                <w:sz w:val="24"/>
              </w:rPr>
              <w:t>详见该项目工程量清单</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工期：</w:t>
            </w:r>
            <w:r>
              <w:rPr>
                <w:rFonts w:ascii="仿宋_GB2312" w:hAnsi="仿宋_GB2312" w:cs="仿宋_GB2312" w:eastAsia="仿宋_GB2312"/>
                <w:sz w:val="24"/>
                <w:b/>
                <w:color w:val="000000"/>
                <w:u w:val="single"/>
              </w:rPr>
              <w:t>180</w:t>
            </w:r>
            <w:r>
              <w:rPr>
                <w:rFonts w:ascii="仿宋_GB2312" w:hAnsi="仿宋_GB2312" w:cs="仿宋_GB2312" w:eastAsia="仿宋_GB2312"/>
                <w:sz w:val="24"/>
                <w:b/>
                <w:color w:val="000000"/>
              </w:rPr>
              <w:t>日历天</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质量标准</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合格。</w:t>
            </w:r>
          </w:p>
          <w:p>
            <w:pPr>
              <w:pStyle w:val="null3"/>
              <w:jc w:val="left"/>
            </w:pPr>
            <w:r>
              <w:rPr>
                <w:rFonts w:ascii="仿宋_GB2312" w:hAnsi="仿宋_GB2312" w:cs="仿宋_GB2312" w:eastAsia="仿宋_GB2312"/>
                <w:sz w:val="24"/>
                <w:b/>
                <w:color w:val="000000"/>
              </w:rPr>
              <w:t>供应商</w:t>
            </w:r>
            <w:r>
              <w:rPr>
                <w:rFonts w:ascii="仿宋_GB2312" w:hAnsi="仿宋_GB2312" w:cs="仿宋_GB2312" w:eastAsia="仿宋_GB2312"/>
                <w:sz w:val="24"/>
                <w:b/>
                <w:color w:val="000000"/>
              </w:rPr>
              <w:t>严格按照国家颁发的施工验收规范及工程设计图纸要求进行施工。</w:t>
            </w:r>
          </w:p>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、工程要求：</w:t>
            </w:r>
          </w:p>
          <w:p>
            <w:pPr>
              <w:pStyle w:val="null3"/>
              <w:jc w:val="left"/>
            </w:pPr>
            <w:r>
              <w:rPr>
                <w:rFonts w:ascii="仿宋_GB2312" w:hAnsi="仿宋_GB2312" w:cs="仿宋_GB2312" w:eastAsia="仿宋_GB2312"/>
                <w:sz w:val="24"/>
                <w:color w:val="000000"/>
              </w:rPr>
              <w:t>①根据国家及地方有关建设工程行业有关规定。</w:t>
            </w:r>
          </w:p>
          <w:p>
            <w:pPr>
              <w:pStyle w:val="null3"/>
              <w:jc w:val="left"/>
            </w:pPr>
            <w:r>
              <w:rPr>
                <w:rFonts w:ascii="仿宋_GB2312" w:hAnsi="仿宋_GB2312" w:cs="仿宋_GB2312" w:eastAsia="仿宋_GB2312"/>
                <w:sz w:val="24"/>
                <w:color w:val="000000"/>
              </w:rPr>
              <w:t>②按照图纸要求，清单内容进行</w:t>
            </w:r>
            <w:r>
              <w:rPr>
                <w:rFonts w:ascii="仿宋_GB2312" w:hAnsi="仿宋_GB2312" w:cs="仿宋_GB2312" w:eastAsia="仿宋_GB2312"/>
                <w:sz w:val="24"/>
                <w:color w:val="000000"/>
              </w:rPr>
              <w:t>施工</w:t>
            </w:r>
            <w:r>
              <w:rPr>
                <w:rFonts w:ascii="仿宋_GB2312" w:hAnsi="仿宋_GB2312" w:cs="仿宋_GB2312" w:eastAsia="仿宋_GB2312"/>
                <w:sz w:val="24"/>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 供应商无需在开标现场提交纸质响应文件， 待采购结果发布后3个工作日内成交供应商向代理机 构提交纸质版响应文件以便于存档， 响应文件包括:正本壹份、 副本贰份， 电子版U盘贰份(含响应文件全部内容)。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供应商具备建筑工程施工总承包三级及以上资质，及有效的安全生产许可证；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项目负责人需具备建筑工程专业二级及以上注册建造师证书和安全生产考核合格证（B证），且无在建工程项目（提供承诺函）；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工程质量及工程工期</w:t>
            </w:r>
          </w:p>
        </w:tc>
        <w:tc>
          <w:tcPr>
            <w:tcW w:type="dxa" w:w="3322"/>
          </w:tcPr>
          <w:p>
            <w:pPr>
              <w:pStyle w:val="null3"/>
            </w:pPr>
            <w:r>
              <w:rPr>
                <w:rFonts w:ascii="仿宋_GB2312" w:hAnsi="仿宋_GB2312" w:cs="仿宋_GB2312" w:eastAsia="仿宋_GB2312"/>
              </w:rPr>
              <w:t>应符合竞争性磋商文件规定；</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报价一览表.docx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对响应文件响应程度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一、评审内容:响应人提供本项目施工方案，包括①施工方法（工艺）②施工组织和施工程序③现场平面布置④技术组织措施。 二、赋分标准 ：1、完整性:方案内容完整全面，对上述各项内容均有描述，得2分；缺1项，得1.5分；缺2 项，得1分；缺3项，得0.5分。2、针对性：针对性强，得4分；针对性一般，得2分：缺乏针对性，得0分。3、 可实施性：可实施性强，得4分；可实施性一般，得2分；缺乏可实施性，得0分。 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一、评审内容：响应人提供本项目施工进度计划，包括①施工进度目标和施工总进度计划表（图）②分部分项工期一览表③重要工程的验收、检验的次序和时间。 二、赋分标准：1、完整性：方案内容完整全面，对上述各项内容均有描述， 得3分；缺1项，得2分；缺2 项，得1分。2、针对性：针对性强，得4分；针对性一般，得2分；缺乏针对性，得0分。3、可实施性：可实施性强，得3分；可实施性一般，得1.5分；缺乏可实施性，得0分。此项不提供不得分。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一、评审内容：响应人提供本项目工期保证措施，包括①施工组织与管理保证措施②施工技术措施。 二、赋分标准：1、完整性：方案内容完整全面，对上述各项内容均有描述， 得2分：缺1项，得1分。2、针对性：针对性强，得3分；针对性一般， 得1.5分；缺乏针对性，得0分。3、可实施性：可实施性强，得3分；可实施性一般，得1.5分；缺乏可实施性，得0分。此项不提供不得分。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一、评审内容：响应人提供本项目质量保证措施，包括①工程质量目标②施工质量保证措施③施工质量管理与控制方案。 二、赋分标准：1、完整性：方案内容完整全面，对上述各项内容均有描述， 得3分；缺1项，得2分；缺2 项，得1分。2、针对性：针对性强，得2.5分；针对性一般，得1分；缺乏针对性，得0分。3、可实施性：可实施性强，得2.5分；可实施性一般，得1分；缺乏可实施性，得0分。此项不提供不得分。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一、评审内容：响应人提供本项目安全技术措施，包括①安全管理制度②安全责任归属划分③安全标识：安全警戒标语、 施工人员安全警示服和安全帽穿配要求④安全教育培训。 二、赋分标准：1、完整性：方案内容完整全面，对上述各项内容均有描述， 得2分；缺1项，得1.5分；缺2项，得1分；缺3项，得0.5分。2、针对性：针对性强，得3分；针对性一般，得1.5分；缺乏针对性，得0分。3、 可实施性：可实施性强，得3分；可实施性一般，得1.5分；缺乏可实施性， 得0分。此项不提供不得分。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一、评审内容：响应人提供本项目文明施工措施，包括①成品保护措施和制度②施工现场的临时管理措施③文明施工保障措施。 二、赋分标准：1、完整性：方案内容完整全面，对上述各项内容均有描述， 得3分；缺1项，得2分；缺2项，得1分。2、针对性：针对性强， 得2分；针对性一般，得1分；缺乏针对性，得0分。3、可实施性：可实施性强，得2分；可实施性一般，得1分；缺乏可实施性，得0分。此项不提供不得分。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一、评审内容:响应人提供本项目的保修方案，包括①工程保修期②维修人员配备和服务措施③响应时间。 二、赋分标准：1、完整性：方案内容完整全面，对上述各项内容均有描述， 得3分；缺1项，得2分；缺2项，得1分。2、针对性：针对性强，得2分；针对性一般，得1分；缺乏针对性，得0分。3、可实施性：可实施性强，得2分；可实施性一般，得1分；缺乏可实施性，得0分。此项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一、评审内容：响应人提供本项目环境保护措施，包括①环境保护管理体系②环保控制措施：污染物及废弃物的处理措施、噪音控制措施、防尘及扬尘的控制措施。 二、赋分标准：1、完整性：方案内容完整全面，对上述各项内容均有描述， 得2分：缺1项，得1分。2、针对性：针对性强，得2分；针对性一般， 得1分；缺乏针对性，得0分。3、可实施性：可实施性强，得2分；可实施性一般，得1分；缺乏可实施性，得0分。此项不提供不得分。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响应人提供本项目的紧急情况应急措施，包括①自然灾害应急措施：遇到极端天气、火灾、防汛、地震等其他突发事件的应急措施②安全事故应急措施：高空坠落伤害应急措施、触电应急措施、人员伤亡应急措施。 赋分标准:1、完整性：方案内容完整全面，对上述各项内容均有描述，得2分；缺1项，得1分。2、针对性：针对性强,得2分；针对性一般，得1分；缺乏针对性，得0分。3、可实施性：可实施性强，得2分；可实施性一般，得1分;缺乏可实施性,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供应商拟派项目负责人具有建筑工程专业高级职称的计5分，具有中级职称的计3分，中级以下不得分。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 年 1 月至今承担过类似项目业绩，每有一项业绩得2.5 分，最多得 5 分，未按要求的不得分。 注：业绩证明材料为加盖供应商公章的合同复印件或扫描件，时间以合同签订时间为准，未提供不得分。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投标供应商的价格分统一按照下列公式计算：投标报价得分=（评标基准价/投标报价）×价格权值，超出采购预算的投标报价按废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详见附件：政府采购工程类合同(1.6).docx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