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版本号：ZCLH--202601220260203002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略阳县徐家坪镇2025年度农作物秸秆综合利用项目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ZCLH--2026012</w:t>
      </w:r>
      <w:r>
        <w:br/>
      </w:r>
      <w:r>
        <w:br/>
      </w:r>
      <w:r>
        <w:br/>
      </w:r>
    </w:p>
    <w:p>
      <w:pPr>
        <w:pStyle w:val="null3"/>
        <w:jc w:val="center"/>
        <w:outlineLvl w:val="2"/>
      </w:pPr>
      <w:r>
        <w:rPr>
          <w:rFonts w:ascii="仿宋_GB2312" w:hAnsi="仿宋_GB2312" w:cs="仿宋_GB2312" w:eastAsia="仿宋_GB2312"/>
          <w:sz w:val="28"/>
          <w:b/>
        </w:rPr>
        <w:t>略阳县徐家坪镇人民政府</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略阳县徐家坪镇人民政府</w:t>
      </w:r>
      <w:r>
        <w:rPr>
          <w:rFonts w:ascii="仿宋_GB2312" w:hAnsi="仿宋_GB2312" w:cs="仿宋_GB2312" w:eastAsia="仿宋_GB2312"/>
        </w:rPr>
        <w:t>委托，拟对</w:t>
      </w:r>
      <w:r>
        <w:rPr>
          <w:rFonts w:ascii="仿宋_GB2312" w:hAnsi="仿宋_GB2312" w:cs="仿宋_GB2312" w:eastAsia="仿宋_GB2312"/>
        </w:rPr>
        <w:t>略阳县徐家坪镇2025年度农作物秸秆综合利用项目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ZCLH--2026012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略阳县徐家坪镇2025年度农作物秸秆综合利用项目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采购全自动秸秆打包生产线、防尘设备及托盘；农作物秸秆铡草揉丝机及青贮饲料粉碎覆膜机；秸秆粉碎还田机、农作物秸秆粉碎割台、饲草装卸机械、农作物秸秆转运车等6类设备。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略阳县徐家坪镇人民政府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略阳县徐家坪镇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0916-4941034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成都市青羊区西货站路6号南塔7层703号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银行账号：103307640284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略阳县徐家坪镇人民政府</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略阳县徐家坪镇人民政府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略阳县徐家坪镇人民政府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力华项目管理有限公司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采购全自动秸秆打包生产线、防尘设备及托盘；农作物秸秆铡草揉丝机及青贮饲料粉碎覆膜机；秸秆粉碎还田机、农作物秸秆粉碎割台、饲草装卸机械、农作物秸秆转运车等6类设备。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639,400.00</w:t>
      </w:r>
    </w:p>
    <w:p>
      <w:pPr>
        <w:pStyle w:val="null3"/>
      </w:pPr>
      <w:r>
        <w:rPr>
          <w:rFonts w:ascii="仿宋_GB2312" w:hAnsi="仿宋_GB2312" w:cs="仿宋_GB2312" w:eastAsia="仿宋_GB2312"/>
        </w:rPr>
        <w:t>采购包最高限价（元）: 639,400.00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农作物秸秆设备采购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639,400.00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标的名称：农作物秸秆设备采购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60"/>
              <w:gridCol w:w="168"/>
              <w:gridCol w:w="1743"/>
              <w:gridCol w:w="174"/>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规格要求</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全自动秸秆</w:t>
                  </w:r>
                  <w:r>
                    <w:rPr>
                      <w:rFonts w:ascii="仿宋_GB2312" w:hAnsi="仿宋_GB2312" w:cs="仿宋_GB2312" w:eastAsia="仿宋_GB2312"/>
                      <w:sz w:val="24"/>
                    </w:rPr>
                    <w:t>打包生产线、防尘设备及存储托盘</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全自动秸秆方形压捆机及托盘：</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三缸秸秆压捆机</w:t>
                  </w:r>
                </w:p>
                <w:p>
                  <w:pPr>
                    <w:pStyle w:val="null3"/>
                    <w:jc w:val="left"/>
                  </w:pPr>
                  <w:r>
                    <w:rPr>
                      <w:rFonts w:ascii="仿宋_GB2312" w:hAnsi="仿宋_GB2312" w:cs="仿宋_GB2312" w:eastAsia="仿宋_GB2312"/>
                      <w:sz w:val="24"/>
                    </w:rPr>
                    <w:t>配套动力：</w:t>
                  </w:r>
                  <w:r>
                    <w:rPr>
                      <w:rFonts w:ascii="仿宋_GB2312" w:hAnsi="仿宋_GB2312" w:cs="仿宋_GB2312" w:eastAsia="仿宋_GB2312"/>
                      <w:sz w:val="24"/>
                    </w:rPr>
                    <w:t>≥ 22千瓦；★</w:t>
                  </w:r>
                </w:p>
                <w:p>
                  <w:pPr>
                    <w:pStyle w:val="null3"/>
                    <w:jc w:val="left"/>
                  </w:pPr>
                  <w:r>
                    <w:rPr>
                      <w:rFonts w:ascii="仿宋_GB2312" w:hAnsi="仿宋_GB2312" w:cs="仿宋_GB2312" w:eastAsia="仿宋_GB2312"/>
                      <w:sz w:val="24"/>
                    </w:rPr>
                    <w:t>生产率：</w:t>
                  </w:r>
                  <w:r>
                    <w:rPr>
                      <w:rFonts w:ascii="仿宋_GB2312" w:hAnsi="仿宋_GB2312" w:cs="仿宋_GB2312" w:eastAsia="仿宋_GB2312"/>
                      <w:sz w:val="24"/>
                    </w:rPr>
                    <w:t>≥60捆/h；</w:t>
                  </w:r>
                </w:p>
                <w:p>
                  <w:pPr>
                    <w:pStyle w:val="null3"/>
                    <w:jc w:val="left"/>
                  </w:pPr>
                  <w:r>
                    <w:rPr>
                      <w:rFonts w:ascii="仿宋_GB2312" w:hAnsi="仿宋_GB2312" w:cs="仿宋_GB2312" w:eastAsia="仿宋_GB2312"/>
                      <w:sz w:val="24"/>
                    </w:rPr>
                    <w:t>草捆重量：</w:t>
                  </w:r>
                  <w:r>
                    <w:rPr>
                      <w:rFonts w:ascii="仿宋_GB2312" w:hAnsi="仿宋_GB2312" w:cs="仿宋_GB2312" w:eastAsia="仿宋_GB2312"/>
                      <w:sz w:val="24"/>
                    </w:rPr>
                    <w:t>≤60kg；</w:t>
                  </w:r>
                </w:p>
                <w:p>
                  <w:pPr>
                    <w:pStyle w:val="null3"/>
                    <w:jc w:val="left"/>
                  </w:pPr>
                  <w:r>
                    <w:rPr>
                      <w:rFonts w:ascii="仿宋_GB2312" w:hAnsi="仿宋_GB2312" w:cs="仿宋_GB2312" w:eastAsia="仿宋_GB2312"/>
                      <w:sz w:val="24"/>
                    </w:rPr>
                    <w:t>草捆密度</w:t>
                  </w:r>
                  <w:r>
                    <w:rPr>
                      <w:rFonts w:ascii="仿宋_GB2312" w:hAnsi="仿宋_GB2312" w:cs="仿宋_GB2312" w:eastAsia="仿宋_GB2312"/>
                      <w:sz w:val="24"/>
                    </w:rPr>
                    <w:t>≥100kg/m³；★</w:t>
                  </w:r>
                </w:p>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“★”提供产品检测报告</w:t>
                  </w:r>
                </w:p>
                <w:p>
                  <w:pPr>
                    <w:pStyle w:val="null3"/>
                    <w:jc w:val="left"/>
                  </w:pPr>
                  <w:r>
                    <w:rPr>
                      <w:rFonts w:ascii="仿宋_GB2312" w:hAnsi="仿宋_GB2312" w:cs="仿宋_GB2312" w:eastAsia="仿宋_GB2312"/>
                      <w:sz w:val="24"/>
                    </w:rPr>
                    <w:t>输送带长度：</w:t>
                  </w:r>
                  <w:r>
                    <w:rPr>
                      <w:rFonts w:ascii="仿宋_GB2312" w:hAnsi="仿宋_GB2312" w:cs="仿宋_GB2312" w:eastAsia="仿宋_GB2312"/>
                      <w:sz w:val="24"/>
                    </w:rPr>
                    <w:t>≥9米，宽度≥0.8米；</w:t>
                  </w:r>
                </w:p>
                <w:p>
                  <w:pPr>
                    <w:pStyle w:val="null3"/>
                    <w:jc w:val="left"/>
                  </w:pPr>
                  <w:r>
                    <w:rPr>
                      <w:rFonts w:ascii="仿宋_GB2312" w:hAnsi="仿宋_GB2312" w:cs="仿宋_GB2312" w:eastAsia="仿宋_GB2312"/>
                      <w:sz w:val="24"/>
                    </w:rPr>
                    <w:t>输送带动力</w:t>
                  </w:r>
                  <w:r>
                    <w:rPr>
                      <w:rFonts w:ascii="仿宋_GB2312" w:hAnsi="仿宋_GB2312" w:cs="仿宋_GB2312" w:eastAsia="仿宋_GB2312"/>
                      <w:sz w:val="24"/>
                    </w:rPr>
                    <w:t>≥3千瓦；</w:t>
                  </w:r>
                </w:p>
                <w:p>
                  <w:pPr>
                    <w:pStyle w:val="null3"/>
                    <w:jc w:val="left"/>
                  </w:pPr>
                  <w:r>
                    <w:rPr>
                      <w:rFonts w:ascii="仿宋_GB2312" w:hAnsi="仿宋_GB2312" w:cs="仿宋_GB2312" w:eastAsia="仿宋_GB2312"/>
                      <w:sz w:val="24"/>
                    </w:rPr>
                    <w:t>配套防尘设备；</w:t>
                  </w:r>
                </w:p>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“★”提供产品检测报告</w:t>
                  </w:r>
                </w:p>
                <w:p>
                  <w:pPr>
                    <w:pStyle w:val="null3"/>
                    <w:jc w:val="left"/>
                  </w:pPr>
                  <w:r>
                    <w:rPr>
                      <w:rFonts w:ascii="仿宋_GB2312" w:hAnsi="仿宋_GB2312" w:cs="仿宋_GB2312" w:eastAsia="仿宋_GB2312"/>
                      <w:sz w:val="24"/>
                    </w:rPr>
                    <w:t>分料箱容积：</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m³</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分料箱动力：</w:t>
                  </w:r>
                  <w:r>
                    <w:rPr>
                      <w:rFonts w:ascii="仿宋_GB2312" w:hAnsi="仿宋_GB2312" w:cs="仿宋_GB2312" w:eastAsia="仿宋_GB2312"/>
                      <w:sz w:val="24"/>
                    </w:rPr>
                    <w:t>≥</w:t>
                  </w:r>
                  <w:r>
                    <w:rPr>
                      <w:rFonts w:ascii="仿宋_GB2312" w:hAnsi="仿宋_GB2312" w:cs="仿宋_GB2312" w:eastAsia="仿宋_GB2312"/>
                      <w:sz w:val="24"/>
                    </w:rPr>
                    <w:t>2.2KW</w:t>
                  </w:r>
                </w:p>
                <w:p>
                  <w:pPr>
                    <w:pStyle w:val="null3"/>
                    <w:jc w:val="left"/>
                  </w:pPr>
                  <w:r>
                    <w:rPr>
                      <w:rFonts w:ascii="仿宋_GB2312" w:hAnsi="仿宋_GB2312" w:cs="仿宋_GB2312" w:eastAsia="仿宋_GB2312"/>
                      <w:sz w:val="24"/>
                    </w:rPr>
                    <w:t>存储托盘（</w:t>
                  </w:r>
                  <w:r>
                    <w:rPr>
                      <w:rFonts w:ascii="仿宋_GB2312" w:hAnsi="仿宋_GB2312" w:cs="仿宋_GB2312" w:eastAsia="仿宋_GB2312"/>
                      <w:sz w:val="24"/>
                    </w:rPr>
                    <w:t>10</w:t>
                  </w:r>
                  <w:r>
                    <w:rPr>
                      <w:rFonts w:ascii="仿宋_GB2312" w:hAnsi="仿宋_GB2312" w:cs="仿宋_GB2312" w:eastAsia="仿宋_GB2312"/>
                      <w:sz w:val="24"/>
                    </w:rPr>
                    <w:t>0个）规格尺寸：≥1.2m*1m；托盘材质：金属材质。</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农作物秸秆铡草揉丝机及青贮饲料粉碎覆膜机</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45"/>
                    <w:jc w:val="left"/>
                  </w:pPr>
                  <w:r>
                    <w:rPr>
                      <w:rFonts w:ascii="仿宋_GB2312" w:hAnsi="仿宋_GB2312" w:cs="仿宋_GB2312" w:eastAsia="仿宋_GB2312"/>
                      <w:sz w:val="24"/>
                    </w:rPr>
                    <w:t>农作物秸秆铡草揉丝机及青贮饲料粉碎覆膜机：</w:t>
                  </w:r>
                  <w:r>
                    <w:rPr>
                      <w:rFonts w:ascii="仿宋_GB2312" w:hAnsi="仿宋_GB2312" w:cs="仿宋_GB2312" w:eastAsia="仿宋_GB2312"/>
                      <w:sz w:val="24"/>
                    </w:rPr>
                    <w:t>1套</w:t>
                  </w:r>
                </w:p>
                <w:p>
                  <w:pPr>
                    <w:pStyle w:val="null3"/>
                    <w:spacing w:before="75"/>
                    <w:ind w:right="45"/>
                    <w:jc w:val="left"/>
                  </w:pPr>
                  <w:r>
                    <w:rPr>
                      <w:rFonts w:ascii="仿宋_GB2312" w:hAnsi="仿宋_GB2312" w:cs="仿宋_GB2312" w:eastAsia="仿宋_GB2312"/>
                      <w:sz w:val="24"/>
                    </w:rPr>
                    <w:t>圆捆机电机功率</w:t>
                  </w:r>
                  <w:r>
                    <w:rPr>
                      <w:rFonts w:ascii="仿宋_GB2312" w:hAnsi="仿宋_GB2312" w:cs="仿宋_GB2312" w:eastAsia="仿宋_GB2312"/>
                      <w:sz w:val="24"/>
                    </w:rPr>
                    <w:t>: ≥5.5KW；★</w:t>
                  </w:r>
                </w:p>
                <w:p>
                  <w:pPr>
                    <w:pStyle w:val="null3"/>
                    <w:spacing w:before="75"/>
                    <w:ind w:right="45"/>
                    <w:jc w:val="left"/>
                  </w:pPr>
                  <w:r>
                    <w:rPr>
                      <w:rFonts w:ascii="仿宋_GB2312" w:hAnsi="仿宋_GB2312" w:cs="仿宋_GB2312" w:eastAsia="仿宋_GB2312"/>
                      <w:sz w:val="24"/>
                    </w:rPr>
                    <w:t>工作效率</w:t>
                  </w:r>
                  <w:r>
                    <w:rPr>
                      <w:rFonts w:ascii="仿宋_GB2312" w:hAnsi="仿宋_GB2312" w:cs="仿宋_GB2312" w:eastAsia="仿宋_GB2312"/>
                      <w:sz w:val="24"/>
                    </w:rPr>
                    <w:t>:≥50捆/h；</w:t>
                  </w:r>
                </w:p>
                <w:p>
                  <w:pPr>
                    <w:pStyle w:val="null3"/>
                  </w:pPr>
                  <w:r>
                    <w:rPr>
                      <w:rFonts w:ascii="仿宋_GB2312" w:hAnsi="仿宋_GB2312" w:cs="仿宋_GB2312" w:eastAsia="仿宋_GB2312"/>
                      <w:sz w:val="24"/>
                    </w:rPr>
                    <w:t>包膜层：</w:t>
                  </w:r>
                  <w:r>
                    <w:rPr>
                      <w:rFonts w:ascii="仿宋_GB2312" w:hAnsi="仿宋_GB2312" w:cs="仿宋_GB2312" w:eastAsia="仿宋_GB2312"/>
                      <w:sz w:val="24"/>
                    </w:rPr>
                    <w:t>≥2层；</w:t>
                  </w:r>
                </w:p>
                <w:p>
                  <w:pPr>
                    <w:pStyle w:val="null3"/>
                    <w:jc w:val="left"/>
                  </w:pPr>
                  <w:r>
                    <w:rPr>
                      <w:rFonts w:ascii="仿宋_GB2312" w:hAnsi="仿宋_GB2312" w:cs="仿宋_GB2312" w:eastAsia="仿宋_GB2312"/>
                      <w:sz w:val="24"/>
                    </w:rPr>
                    <w:t>配套揉丝机动力</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18.5KW；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输送动力</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1.5KW；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生产率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8T/h；</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:锤片式</w:t>
                  </w:r>
                </w:p>
                <w:p>
                  <w:pPr>
                    <w:pStyle w:val="null3"/>
                    <w:jc w:val="left"/>
                  </w:pPr>
                  <w:r>
                    <w:rPr>
                      <w:rFonts w:ascii="仿宋_GB2312" w:hAnsi="仿宋_GB2312" w:cs="仿宋_GB2312" w:eastAsia="仿宋_GB2312"/>
                      <w:sz w:val="24"/>
                    </w:rPr>
                    <w:t>喂入方式：链条</w:t>
                  </w:r>
                </w:p>
                <w:p>
                  <w:pPr>
                    <w:pStyle w:val="null3"/>
                    <w:jc w:val="left"/>
                  </w:pPr>
                  <w:r>
                    <w:rPr>
                      <w:rFonts w:ascii="仿宋_GB2312" w:hAnsi="仿宋_GB2312" w:cs="仿宋_GB2312" w:eastAsia="仿宋_GB2312"/>
                      <w:sz w:val="24"/>
                    </w:rPr>
                    <w:t>“★”提供产品检测报告</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农作物秸秆转运车</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 xml:space="preserve">≥ </w:t>
                  </w:r>
                  <w:r>
                    <w:rPr>
                      <w:rFonts w:ascii="仿宋_GB2312" w:hAnsi="仿宋_GB2312" w:cs="仿宋_GB2312" w:eastAsia="仿宋_GB2312"/>
                      <w:sz w:val="24"/>
                    </w:rPr>
                    <w:t>91</w:t>
                  </w:r>
                  <w:r>
                    <w:rPr>
                      <w:rFonts w:ascii="仿宋_GB2312" w:hAnsi="仿宋_GB2312" w:cs="仿宋_GB2312" w:eastAsia="仿宋_GB2312"/>
                      <w:sz w:val="24"/>
                    </w:rPr>
                    <w:t>KW；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排放标准：</w:t>
                  </w:r>
                  <w:r>
                    <w:rPr>
                      <w:rFonts w:ascii="仿宋_GB2312" w:hAnsi="仿宋_GB2312" w:cs="仿宋_GB2312" w:eastAsia="仿宋_GB2312"/>
                      <w:sz w:val="24"/>
                    </w:rPr>
                    <w:t>≥国</w:t>
                  </w:r>
                  <w:r>
                    <w:rPr>
                      <w:rFonts w:ascii="仿宋_GB2312" w:hAnsi="仿宋_GB2312" w:cs="仿宋_GB2312" w:eastAsia="仿宋_GB2312"/>
                      <w:sz w:val="24"/>
                    </w:rPr>
                    <w:t>六</w:t>
                  </w:r>
                  <w:r>
                    <w:rPr>
                      <w:rFonts w:ascii="仿宋_GB2312" w:hAnsi="仿宋_GB2312" w:cs="仿宋_GB2312" w:eastAsia="仿宋_GB2312"/>
                      <w:sz w:val="24"/>
                    </w:rPr>
                    <w:t>标准；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“★”提供车辆注册</w:t>
                  </w:r>
                  <w:r>
                    <w:rPr>
                      <w:rFonts w:ascii="仿宋_GB2312" w:hAnsi="仿宋_GB2312" w:cs="仿宋_GB2312" w:eastAsia="仿宋_GB2312"/>
                      <w:sz w:val="24"/>
                    </w:rPr>
                    <w:t>登记</w:t>
                  </w:r>
                  <w:r>
                    <w:rPr>
                      <w:rFonts w:ascii="仿宋_GB2312" w:hAnsi="仿宋_GB2312" w:cs="仿宋_GB2312" w:eastAsia="仿宋_GB2312"/>
                      <w:sz w:val="24"/>
                    </w:rPr>
                    <w:t>所需合格证</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秸秆粉碎还田机及配套动力</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秸秆粉碎还田机及配套动力：</w:t>
                  </w:r>
                  <w:r>
                    <w:rPr>
                      <w:rFonts w:ascii="仿宋_GB2312" w:hAnsi="仿宋_GB2312" w:cs="仿宋_GB2312" w:eastAsia="仿宋_GB2312"/>
                      <w:sz w:val="24"/>
                    </w:rPr>
                    <w:t>1套</w:t>
                  </w:r>
                </w:p>
                <w:p>
                  <w:pPr>
                    <w:pStyle w:val="null3"/>
                  </w:pPr>
                  <w:r>
                    <w:rPr>
                      <w:rFonts w:ascii="仿宋_GB2312" w:hAnsi="仿宋_GB2312" w:cs="仿宋_GB2312" w:eastAsia="仿宋_GB2312"/>
                      <w:sz w:val="24"/>
                    </w:rPr>
                    <w:t>轮式拖拉机（纳入农机牌证管理）；</w:t>
                  </w:r>
                </w:p>
                <w:p>
                  <w:pPr>
                    <w:pStyle w:val="null3"/>
                  </w:pPr>
                  <w:r>
                    <w:rPr>
                      <w:rFonts w:ascii="仿宋_GB2312" w:hAnsi="仿宋_GB2312" w:cs="仿宋_GB2312" w:eastAsia="仿宋_GB2312"/>
                      <w:sz w:val="24"/>
                    </w:rPr>
                    <w:t>秸秆粉碎还田机动力：</w:t>
                  </w:r>
                  <w:r>
                    <w:rPr>
                      <w:rFonts w:ascii="仿宋_GB2312" w:hAnsi="仿宋_GB2312" w:cs="仿宋_GB2312" w:eastAsia="仿宋_GB2312"/>
                      <w:sz w:val="24"/>
                    </w:rPr>
                    <w:t>≥ 51.5kw；★</w:t>
                  </w:r>
                </w:p>
                <w:p>
                  <w:pPr>
                    <w:pStyle w:val="null3"/>
                  </w:pPr>
                  <w:r>
                    <w:rPr>
                      <w:rFonts w:ascii="仿宋_GB2312" w:hAnsi="仿宋_GB2312" w:cs="仿宋_GB2312" w:eastAsia="仿宋_GB2312"/>
                      <w:sz w:val="24"/>
                    </w:rPr>
                    <w:t>驱动方式：四驱；</w:t>
                  </w:r>
                  <w:r>
                    <w:rPr>
                      <w:rFonts w:ascii="仿宋_GB2312" w:hAnsi="仿宋_GB2312" w:cs="仿宋_GB2312" w:eastAsia="仿宋_GB2312"/>
                      <w:sz w:val="24"/>
                    </w:rPr>
                    <w:t>★</w:t>
                  </w:r>
                </w:p>
                <w:p>
                  <w:pPr>
                    <w:pStyle w:val="null3"/>
                  </w:pPr>
                  <w:r>
                    <w:rPr>
                      <w:rFonts w:ascii="仿宋_GB2312" w:hAnsi="仿宋_GB2312" w:cs="仿宋_GB2312" w:eastAsia="仿宋_GB2312"/>
                      <w:sz w:val="24"/>
                    </w:rPr>
                    <w:t>排放标准：</w:t>
                  </w:r>
                  <w:r>
                    <w:rPr>
                      <w:rFonts w:ascii="仿宋_GB2312" w:hAnsi="仿宋_GB2312" w:cs="仿宋_GB2312" w:eastAsia="仿宋_GB2312"/>
                      <w:sz w:val="24"/>
                    </w:rPr>
                    <w:t>≥国四标准；</w:t>
                  </w:r>
                </w:p>
                <w:p>
                  <w:pPr>
                    <w:pStyle w:val="null3"/>
                  </w:pPr>
                  <w:r>
                    <w:rPr>
                      <w:rFonts w:ascii="仿宋_GB2312" w:hAnsi="仿宋_GB2312" w:cs="仿宋_GB2312" w:eastAsia="仿宋_GB2312"/>
                      <w:sz w:val="24"/>
                    </w:rPr>
                    <w:t>液压输出：</w:t>
                  </w:r>
                  <w:r>
                    <w:rPr>
                      <w:rFonts w:ascii="仿宋_GB2312" w:hAnsi="仿宋_GB2312" w:cs="仿宋_GB2312" w:eastAsia="仿宋_GB2312"/>
                      <w:sz w:val="24"/>
                    </w:rPr>
                    <w:t>≥两组；</w:t>
                  </w:r>
                </w:p>
                <w:p>
                  <w:pPr>
                    <w:pStyle w:val="null3"/>
                  </w:pPr>
                  <w:r>
                    <w:rPr>
                      <w:rFonts w:ascii="仿宋_GB2312" w:hAnsi="仿宋_GB2312" w:cs="仿宋_GB2312" w:eastAsia="仿宋_GB2312"/>
                      <w:sz w:val="24"/>
                    </w:rPr>
                    <w:t>配带遮阳棚及定位终端；</w:t>
                  </w:r>
                </w:p>
                <w:p>
                  <w:pPr>
                    <w:pStyle w:val="null3"/>
                  </w:pPr>
                  <w:r>
                    <w:rPr>
                      <w:rFonts w:ascii="仿宋_GB2312" w:hAnsi="仿宋_GB2312" w:cs="仿宋_GB2312" w:eastAsia="仿宋_GB2312"/>
                      <w:sz w:val="24"/>
                    </w:rPr>
                    <w:t>动力输出转速</w:t>
                  </w:r>
                  <w:r>
                    <w:rPr>
                      <w:rFonts w:ascii="仿宋_GB2312" w:hAnsi="仿宋_GB2312" w:cs="仿宋_GB2312" w:eastAsia="仿宋_GB2312"/>
                      <w:sz w:val="24"/>
                    </w:rPr>
                    <w:t>(r/min)：≥540；</w:t>
                  </w:r>
                </w:p>
                <w:p>
                  <w:pPr>
                    <w:pStyle w:val="null3"/>
                  </w:pPr>
                  <w:r>
                    <w:rPr>
                      <w:rFonts w:ascii="仿宋_GB2312" w:hAnsi="仿宋_GB2312" w:cs="仿宋_GB2312" w:eastAsia="仿宋_GB2312"/>
                      <w:sz w:val="24"/>
                    </w:rPr>
                    <w:t>排挡数：</w:t>
                  </w:r>
                  <w:r>
                    <w:rPr>
                      <w:rFonts w:ascii="仿宋_GB2312" w:hAnsi="仿宋_GB2312" w:cs="仿宋_GB2312" w:eastAsia="仿宋_GB2312"/>
                      <w:sz w:val="24"/>
                    </w:rPr>
                    <w:t>≥8；</w:t>
                  </w:r>
                </w:p>
                <w:p>
                  <w:pPr>
                    <w:pStyle w:val="null3"/>
                  </w:pPr>
                  <w:r>
                    <w:rPr>
                      <w:rFonts w:ascii="仿宋_GB2312" w:hAnsi="仿宋_GB2312" w:cs="仿宋_GB2312" w:eastAsia="仿宋_GB2312"/>
                      <w:sz w:val="24"/>
                    </w:rPr>
                    <w:t>注：</w:t>
                  </w:r>
                  <w:r>
                    <w:rPr>
                      <w:rFonts w:ascii="仿宋_GB2312" w:hAnsi="仿宋_GB2312" w:cs="仿宋_GB2312" w:eastAsia="仿宋_GB2312"/>
                      <w:sz w:val="24"/>
                    </w:rPr>
                    <w:t>“★”提供农机推广鉴定检验报告或国家强制性认证</w:t>
                  </w:r>
                  <w:r>
                    <w:rPr>
                      <w:rFonts w:ascii="仿宋_GB2312" w:hAnsi="仿宋_GB2312" w:cs="仿宋_GB2312" w:eastAsia="仿宋_GB2312"/>
                      <w:sz w:val="24"/>
                    </w:rPr>
                    <w:t>及厂家授权</w:t>
                  </w:r>
                </w:p>
                <w:p>
                  <w:pPr>
                    <w:pStyle w:val="null3"/>
                  </w:pPr>
                  <w:r>
                    <w:rPr>
                      <w:rFonts w:ascii="仿宋_GB2312" w:hAnsi="仿宋_GB2312" w:cs="仿宋_GB2312" w:eastAsia="仿宋_GB2312"/>
                      <w:sz w:val="24"/>
                    </w:rPr>
                    <w:t>作业幅宽：</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0cm；</w:t>
                  </w:r>
                </w:p>
                <w:p>
                  <w:pPr>
                    <w:pStyle w:val="null3"/>
                    <w:jc w:val="left"/>
                  </w:pPr>
                  <w:r>
                    <w:rPr>
                      <w:rFonts w:ascii="仿宋_GB2312" w:hAnsi="仿宋_GB2312" w:cs="仿宋_GB2312" w:eastAsia="仿宋_GB2312"/>
                      <w:sz w:val="24"/>
                    </w:rPr>
                    <w:t>刀片数量：弯刀</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、直刀</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秸秆全喂入割台</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件</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作业行数：</w:t>
                  </w:r>
                  <w:r>
                    <w:rPr>
                      <w:rFonts w:ascii="仿宋_GB2312" w:hAnsi="仿宋_GB2312" w:cs="仿宋_GB2312" w:eastAsia="仿宋_GB2312"/>
                      <w:sz w:val="24"/>
                    </w:rPr>
                    <w:t>≥5行；</w:t>
                  </w:r>
                </w:p>
                <w:p>
                  <w:pPr>
                    <w:pStyle w:val="null3"/>
                    <w:jc w:val="left"/>
                  </w:pPr>
                  <w:r>
                    <w:rPr>
                      <w:rFonts w:ascii="仿宋_GB2312" w:hAnsi="仿宋_GB2312" w:cs="仿宋_GB2312" w:eastAsia="仿宋_GB2312"/>
                      <w:sz w:val="24"/>
                    </w:rPr>
                    <w:t>工作效率：</w:t>
                  </w:r>
                  <w:r>
                    <w:rPr>
                      <w:rFonts w:ascii="仿宋_GB2312" w:hAnsi="仿宋_GB2312" w:cs="仿宋_GB2312" w:eastAsia="仿宋_GB2312"/>
                      <w:sz w:val="24"/>
                    </w:rPr>
                    <w:t>≥8亩/小时；</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w:t>
                  </w:r>
                  <w:r>
                    <w:rPr>
                      <w:rFonts w:ascii="仿宋_GB2312" w:hAnsi="仿宋_GB2312" w:cs="仿宋_GB2312" w:eastAsia="仿宋_GB2312"/>
                      <w:sz w:val="24"/>
                    </w:rPr>
                    <w:t>≥2.3米；</w:t>
                  </w:r>
                </w:p>
                <w:p>
                  <w:pPr>
                    <w:pStyle w:val="null3"/>
                    <w:jc w:val="left"/>
                  </w:pPr>
                  <w:r>
                    <w:rPr>
                      <w:rFonts w:ascii="仿宋_GB2312" w:hAnsi="仿宋_GB2312" w:cs="仿宋_GB2312" w:eastAsia="仿宋_GB2312"/>
                      <w:sz w:val="24"/>
                    </w:rPr>
                    <w:t>结构形式：卧式悬挂；</w:t>
                  </w:r>
                </w:p>
                <w:p>
                  <w:pPr>
                    <w:pStyle w:val="null3"/>
                    <w:jc w:val="left"/>
                  </w:pPr>
                  <w:r>
                    <w:rPr>
                      <w:rFonts w:ascii="仿宋_GB2312" w:hAnsi="仿宋_GB2312" w:cs="仿宋_GB2312" w:eastAsia="仿宋_GB2312"/>
                      <w:sz w:val="24"/>
                    </w:rPr>
                    <w:t>适配</w:t>
                  </w:r>
                  <w:r>
                    <w:rPr>
                      <w:rFonts w:ascii="仿宋_GB2312" w:hAnsi="仿宋_GB2312" w:cs="仿宋_GB2312" w:eastAsia="仿宋_GB2312"/>
                      <w:sz w:val="24"/>
                    </w:rPr>
                    <w:t>CX108联合收割机</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饲草装卸机械</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锂电叉车</w:t>
                  </w:r>
                </w:p>
                <w:p>
                  <w:pPr>
                    <w:pStyle w:val="null3"/>
                    <w:jc w:val="left"/>
                  </w:pPr>
                  <w:r>
                    <w:rPr>
                      <w:rFonts w:ascii="仿宋_GB2312" w:hAnsi="仿宋_GB2312" w:cs="仿宋_GB2312" w:eastAsia="仿宋_GB2312"/>
                      <w:sz w:val="24"/>
                    </w:rPr>
                    <w:t>装载质量：</w:t>
                  </w:r>
                  <w:r>
                    <w:rPr>
                      <w:rFonts w:ascii="仿宋_GB2312" w:hAnsi="仿宋_GB2312" w:cs="仿宋_GB2312" w:eastAsia="仿宋_GB2312"/>
                      <w:sz w:val="24"/>
                    </w:rPr>
                    <w:t>≥2000kg；</w:t>
                  </w:r>
                </w:p>
                <w:p>
                  <w:pPr>
                    <w:pStyle w:val="null3"/>
                    <w:jc w:val="left"/>
                  </w:pPr>
                  <w:r>
                    <w:rPr>
                      <w:rFonts w:ascii="仿宋_GB2312" w:hAnsi="仿宋_GB2312" w:cs="仿宋_GB2312" w:eastAsia="仿宋_GB2312"/>
                      <w:sz w:val="24"/>
                    </w:rPr>
                    <w:t>门架装卸高度：</w:t>
                  </w:r>
                  <w:r>
                    <w:rPr>
                      <w:rFonts w:ascii="仿宋_GB2312" w:hAnsi="仿宋_GB2312" w:cs="仿宋_GB2312" w:eastAsia="仿宋_GB2312"/>
                      <w:sz w:val="24"/>
                    </w:rPr>
                    <w:t>≥4米；</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供货安装期限：60天；质保期：1年。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略阳县徐家坪镇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中标签订合同完成，材料设备进场后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设备全部安装完成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调试安装验收合格后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投标供应商在缴纳保证金时应注明项目名称。2、采用银行保函形式提交投标保证金的，应用基本账户保函的银行或市级银行。注：1.须将原件于投标截止时间前一个工作日内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中小企业声明函 商务应答表 项目整体实施方案.docx 报价表 供应商认为需要说明的其他内容.docx 控股承诺.docx 响应文件封面 产品技术参数表 分项报价表.docx 汉中市政府采购供应商资格承诺函.pdf 供应商应提交的相关资格证明材料.docx 残疾人福利性单位声明函 保证金.pdf 标的清单 响应函 法定代表人证明书及授权委托书.pdf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产品技术参数</w:t>
            </w:r>
          </w:p>
        </w:tc>
        <w:tc>
          <w:tcPr>
            <w:tcW w:type="dxa" w:w="3322"/>
          </w:tcPr>
          <w:p>
            <w:pPr>
              <w:pStyle w:val="null3"/>
            </w:pPr>
            <w:r>
              <w:rPr>
                <w:rFonts w:ascii="仿宋_GB2312" w:hAnsi="仿宋_GB2312" w:cs="仿宋_GB2312" w:eastAsia="仿宋_GB2312"/>
              </w:rPr>
              <w:t>产品技术参数满足采购文件要求。</w:t>
            </w:r>
          </w:p>
        </w:tc>
        <w:tc>
          <w:tcPr>
            <w:tcW w:type="dxa" w:w="1661"/>
          </w:tcPr>
          <w:p>
            <w:pPr>
              <w:pStyle w:val="null3"/>
            </w:pPr>
            <w:r>
              <w:rPr>
                <w:rFonts w:ascii="仿宋_GB2312" w:hAnsi="仿宋_GB2312" w:cs="仿宋_GB2312" w:eastAsia="仿宋_GB2312"/>
              </w:rPr>
              <w:t>响应文件封面 产品技术参数表 分项报价表.docx 商务应答表 项目整体实施方案.docx 供应商认为需要说明的其他内容.docx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