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6AB83">
      <w:pPr>
        <w:spacing w:line="480" w:lineRule="exact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项目整体实施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方案</w:t>
      </w:r>
    </w:p>
    <w:p w14:paraId="7290B49C">
      <w:pPr>
        <w:spacing w:line="360" w:lineRule="auto"/>
        <w:ind w:firstLine="440" w:firstLineChars="200"/>
        <w:rPr>
          <w:sz w:val="20"/>
          <w:szCs w:val="22"/>
        </w:rPr>
      </w:pPr>
      <w:bookmarkStart w:id="0" w:name="_GoBack"/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供应商应按照竞争性谈判文件所规定的采购内容以及相关要求，制定并提供项目整体实施方案。 其内容至少应包括产品技术说明、组织供货和安装服务的详细说明、产品配置说明、质量保证和售后服务等。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757CF"/>
    <w:rsid w:val="0AF757CF"/>
    <w:rsid w:val="23E307CF"/>
    <w:rsid w:val="2A5F18DE"/>
    <w:rsid w:val="42833FC6"/>
    <w:rsid w:val="46830DA9"/>
    <w:rsid w:val="63A9658E"/>
    <w:rsid w:val="69FD454E"/>
    <w:rsid w:val="7B387CA3"/>
    <w:rsid w:val="7DBA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autoSpaceDE w:val="0"/>
      <w:autoSpaceDN w:val="0"/>
      <w:adjustRightInd w:val="0"/>
      <w:spacing w:line="720" w:lineRule="exact"/>
      <w:outlineLvl w:val="1"/>
    </w:pPr>
    <w:rPr>
      <w:rFonts w:ascii="黑体" w:eastAsia="黑体"/>
      <w:color w:val="auto"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toc 1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98</Characters>
  <Lines>0</Lines>
  <Paragraphs>0</Paragraphs>
  <TotalTime>35</TotalTime>
  <ScaleCrop>false</ScaleCrop>
  <LinksUpToDate>false</LinksUpToDate>
  <CharactersWithSpaces>99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2025-07-14T10:56:00Z</dcterms:created>
  <dc:creator>Papa.Z</dc:creator>
  <cp:lastModifiedBy>ronin</cp:lastModifiedBy>
  <dcterms:modified xsi:type="dcterms:W3CDTF">2026-02-02T10:05:26Z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405F189BF3914AE9AA72326623F26310_13</vt:lpwstr>
  </property>
  <property fmtid="{D5CDD505-2E9C-101B-9397-08002B2CF9AE}" pid="4" name="KSOTemplateDocerSaveRecord">
    <vt:lpwstr>eyJoZGlkIjoiZTBmYmVmNzBmYjNjMTlmYjEzYmI3NGM4MjIwNmMwYTIiLCJ1c2VySWQiOiI0ODY4NDA5ODAifQ==</vt:lpwstr>
  </property>
</Properties>
</file>