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版本号：ZYTT2026-HZ01720260326001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略阳县2026年残疾人托养和照护服务采购项目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ZYTT2026-HZ017</w:t>
      </w:r>
      <w:r>
        <w:br/>
      </w:r>
      <w:r>
        <w:br/>
      </w:r>
      <w:r>
        <w:br/>
      </w:r>
    </w:p>
    <w:p>
      <w:pPr>
        <w:pStyle w:val="null3"/>
        <w:jc w:val="center"/>
        <w:outlineLvl w:val="2"/>
      </w:pPr>
      <w:r>
        <w:rPr>
          <w:rFonts w:ascii="仿宋_GB2312" w:hAnsi="仿宋_GB2312" w:cs="仿宋_GB2312" w:eastAsia="仿宋_GB2312"/>
          <w:sz w:val="28"/>
          <w:b/>
        </w:rPr>
        <w:t>略阳县残疾人联合会</w:t>
      </w:r>
    </w:p>
    <w:p>
      <w:pPr>
        <w:pStyle w:val="null3"/>
        <w:jc w:val="center"/>
        <w:outlineLvl w:val="2"/>
      </w:pPr>
      <w:r>
        <w:rPr>
          <w:rFonts w:ascii="仿宋_GB2312" w:hAnsi="仿宋_GB2312" w:cs="仿宋_GB2312" w:eastAsia="仿宋_GB2312"/>
          <w:sz w:val="28"/>
          <w:b/>
        </w:rPr>
        <w:t>陕西正圆通泰项目管理有限公司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陕西正圆通泰项目管理有限公司</w:t>
      </w:r>
      <w:r>
        <w:rPr>
          <w:rFonts w:ascii="仿宋_GB2312" w:hAnsi="仿宋_GB2312" w:cs="仿宋_GB2312" w:eastAsia="仿宋_GB2312"/>
        </w:rPr>
        <w:t>（以下简称“代理机构”）受</w:t>
      </w:r>
      <w:r>
        <w:rPr>
          <w:rFonts w:ascii="仿宋_GB2312" w:hAnsi="仿宋_GB2312" w:cs="仿宋_GB2312" w:eastAsia="仿宋_GB2312"/>
        </w:rPr>
        <w:t>略阳县残疾人联合会</w:t>
      </w:r>
      <w:r>
        <w:rPr>
          <w:rFonts w:ascii="仿宋_GB2312" w:hAnsi="仿宋_GB2312" w:cs="仿宋_GB2312" w:eastAsia="仿宋_GB2312"/>
        </w:rPr>
        <w:t>委托，拟对</w:t>
      </w:r>
      <w:r>
        <w:rPr>
          <w:rFonts w:ascii="仿宋_GB2312" w:hAnsi="仿宋_GB2312" w:cs="仿宋_GB2312" w:eastAsia="仿宋_GB2312"/>
        </w:rPr>
        <w:t>略阳县2026年残疾人托养和照护服务采购项目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ZYTT2026-HZ017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略阳县2026年残疾人托养和照护服务采购项目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略阳县2026年残疾人托养和照护服务采购项目，为服务对象提供专业化生活照料日常护理、生活能力训练、社会适应能力辅导等方面的社会服务，计划使用省级残疾人就业保障金12万元用于居家托养项目，托养服务标准每人2500元，服务48名残疾人；省级残疾人就业保障金18万元，托养服务标准每人4000元，服务45名残疾人，通过居家和日间照料服务，减轻其家庭负担，进一步提升残疾人生活质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采购包1（居家托养服务）：属于专门面向中小企业采购。</w:t>
      </w:r>
    </w:p>
    <w:p>
      <w:pPr>
        <w:pStyle w:val="null3"/>
      </w:pPr>
      <w:r>
        <w:rPr>
          <w:rFonts w:ascii="仿宋_GB2312" w:hAnsi="仿宋_GB2312" w:cs="仿宋_GB2312" w:eastAsia="仿宋_GB2312"/>
        </w:rPr>
        <w:t>采购包2（日间照料服务）：属于专门面向中小企业采购。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医疗服务机构应具有卫生健康主管部门颁发的医疗机构执业许可证。</w:t>
      </w:r>
    </w:p>
    <w:p>
      <w:pPr>
        <w:pStyle w:val="null3"/>
      </w:pPr>
      <w:r>
        <w:rPr>
          <w:rFonts w:ascii="仿宋_GB2312" w:hAnsi="仿宋_GB2312" w:cs="仿宋_GB2312" w:eastAsia="仿宋_GB2312"/>
        </w:rPr>
        <w:t>2、法定代表人证明书及授权书：法定代表人（负责人）委托代理人参加磋商活动时，应提供法定代表人（负责人）委托授权书；法定代表人（负责人）亲自参加磋商活动时，应提供法定代表人（负责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相关证明文件：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医疗服务机构应具有卫生健康主管部门颁发的医疗机构执业许可证。</w:t>
      </w:r>
    </w:p>
    <w:p>
      <w:pPr>
        <w:pStyle w:val="null3"/>
      </w:pPr>
      <w:r>
        <w:rPr>
          <w:rFonts w:ascii="仿宋_GB2312" w:hAnsi="仿宋_GB2312" w:cs="仿宋_GB2312" w:eastAsia="仿宋_GB2312"/>
        </w:rPr>
        <w:t>2、法定代表人证明书及授权书：法定代表人（负责人）委托代理人参加磋商活动时，应提供法定代表人（负责人）委托授权书；法定代表人（负责人）亲自参加磋商活动时，应提供法定代表人（负责人）身份证复印件。</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略阳县人力资源大厦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0916-4822921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陕西正圆通泰项目管理有限公司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汉中市汉台区滨江东路晨晖帝景府A1号楼2402室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0916-8890636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采购包1：120,000.00元</w:t>
            </w:r>
          </w:p>
          <w:p>
            <w:pPr>
              <w:pStyle w:val="null3"/>
            </w:pPr>
            <w:r>
              <w:rPr>
                <w:rFonts w:ascii="仿宋_GB2312" w:hAnsi="仿宋_GB2312" w:cs="仿宋_GB2312" w:eastAsia="仿宋_GB2312"/>
              </w:rPr>
              <w:t>采购包2：180,000.00元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改委办公厅印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略阳县残疾人联合会</w:t>
      </w:r>
      <w:r>
        <w:rPr>
          <w:rFonts w:ascii="仿宋_GB2312" w:hAnsi="仿宋_GB2312" w:cs="仿宋_GB2312" w:eastAsia="仿宋_GB2312"/>
        </w:rPr>
        <w:t>和</w:t>
      </w:r>
      <w:r>
        <w:rPr>
          <w:rFonts w:ascii="仿宋_GB2312" w:hAnsi="仿宋_GB2312" w:cs="仿宋_GB2312" w:eastAsia="仿宋_GB2312"/>
        </w:rPr>
        <w:t>陕西正圆通泰项目管理有限公司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陕西正圆通泰项目管理有限公司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陕西正圆通泰项目管理有限公司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符合国家、省、市相关的法规和规章以及采购人的要求。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符合国家、省、市相关的法规和规章以及采购人的要求。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陕西正圆通泰项目管理有限公司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联系人：赵工</w:t>
      </w:r>
    </w:p>
    <w:p>
      <w:pPr>
        <w:pStyle w:val="null3"/>
      </w:pPr>
      <w:r>
        <w:rPr>
          <w:rFonts w:ascii="仿宋_GB2312" w:hAnsi="仿宋_GB2312" w:cs="仿宋_GB2312" w:eastAsia="仿宋_GB2312"/>
        </w:rPr>
        <w:t>联系电话：0916-8890636</w:t>
      </w:r>
    </w:p>
    <w:p>
      <w:pPr>
        <w:pStyle w:val="null3"/>
      </w:pPr>
      <w:r>
        <w:rPr>
          <w:rFonts w:ascii="仿宋_GB2312" w:hAnsi="仿宋_GB2312" w:cs="仿宋_GB2312" w:eastAsia="仿宋_GB2312"/>
        </w:rPr>
        <w:t>地址：汉中市汉台区滨江东路晨晖帝景府A1号楼2402室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略阳县2026年残疾人托养和照护服务采购项目，为服务对象提供专业化生活照料日常护理、生活能力训练、社会适应能力辅导等方面的社会服务，计划使用省级残疾人就业保障金12万元用于居家托养项目，托养服务标准每人2500元，服务48名残疾人；省级残疾人就业保障金18万元，托养服务标准每人4000元，服务45名残疾人，通过居家和日间照料服务，减轻其家庭负担，进一步提升残疾人生活质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项目</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180000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托养服务条件、要求和标准参照汉中市残联《关于转发《陕西省</w:t>
            </w:r>
            <w:r>
              <w:rPr>
                <w:rFonts w:ascii="仿宋_GB2312" w:hAnsi="仿宋_GB2312" w:cs="仿宋_GB2312" w:eastAsia="仿宋_GB2312"/>
                <w:sz w:val="24"/>
              </w:rPr>
              <w:t>“十四五”残疾人托养服务工作计划》的通知（汉市残联函〔2022〕16号）执行。</w:t>
            </w:r>
            <w:r>
              <w:rPr>
                <w:rFonts w:ascii="仿宋_GB2312" w:hAnsi="仿宋_GB2312" w:cs="仿宋_GB2312" w:eastAsia="仿宋_GB2312"/>
                <w:sz w:val="24"/>
              </w:rPr>
              <w:t>托养服务承接机构在县残联指导下，按照中残联制发的残疾人托养服务规范和服务标准，开展残疾人托养服务。</w:t>
            </w:r>
            <w:r>
              <w:rPr>
                <w:rFonts w:ascii="仿宋_GB2312" w:hAnsi="仿宋_GB2312" w:cs="仿宋_GB2312" w:eastAsia="仿宋_GB2312"/>
                <w:sz w:val="24"/>
              </w:rPr>
              <w:t>为持有第二、三代残疾人证、在劳动年龄段内（男</w:t>
            </w:r>
            <w:r>
              <w:rPr>
                <w:rFonts w:ascii="仿宋_GB2312" w:hAnsi="仿宋_GB2312" w:cs="仿宋_GB2312" w:eastAsia="仿宋_GB2312"/>
                <w:sz w:val="24"/>
              </w:rPr>
              <w:t>16-59周岁，女16-54周岁）、未就业且需要照</w:t>
            </w:r>
            <w:r>
              <w:rPr>
                <w:rFonts w:ascii="仿宋_GB2312" w:hAnsi="仿宋_GB2312" w:cs="仿宋_GB2312" w:eastAsia="仿宋_GB2312"/>
                <w:sz w:val="24"/>
              </w:rPr>
              <w:t>护服务</w:t>
            </w:r>
            <w:r>
              <w:rPr>
                <w:rFonts w:ascii="仿宋_GB2312" w:hAnsi="仿宋_GB2312" w:cs="仿宋_GB2312" w:eastAsia="仿宋_GB2312"/>
                <w:sz w:val="24"/>
              </w:rPr>
              <w:t>的智力残疾人、稳定期的精神残疾人（指精神障碍已经在精神专科确诊并得到治疗，急性期症状已被控制，目前处于较稳定的状态，并经精神科医师风险评估可以转介托托养的精神残疾人）、重度肢体残疾人以及存在智力</w:t>
            </w:r>
            <w:r>
              <w:rPr>
                <w:rFonts w:ascii="仿宋_GB2312" w:hAnsi="仿宋_GB2312" w:cs="仿宋_GB2312" w:eastAsia="仿宋_GB2312"/>
                <w:sz w:val="24"/>
              </w:rPr>
              <w:t>、</w:t>
            </w:r>
            <w:r>
              <w:rPr>
                <w:rFonts w:ascii="仿宋_GB2312" w:hAnsi="仿宋_GB2312" w:cs="仿宋_GB2312" w:eastAsia="仿宋_GB2312"/>
                <w:sz w:val="24"/>
              </w:rPr>
              <w:t>精神</w:t>
            </w:r>
            <w:r>
              <w:rPr>
                <w:rFonts w:ascii="仿宋_GB2312" w:hAnsi="仿宋_GB2312" w:cs="仿宋_GB2312" w:eastAsia="仿宋_GB2312"/>
                <w:sz w:val="24"/>
              </w:rPr>
              <w:t>或</w:t>
            </w:r>
            <w:r>
              <w:rPr>
                <w:rFonts w:ascii="仿宋_GB2312" w:hAnsi="仿宋_GB2312" w:cs="仿宋_GB2312" w:eastAsia="仿宋_GB2312"/>
                <w:sz w:val="24"/>
              </w:rPr>
              <w:t>重度肢体残疾的多重残疾人。重点向</w:t>
            </w:r>
            <w:r>
              <w:rPr>
                <w:rFonts w:ascii="仿宋_GB2312" w:hAnsi="仿宋_GB2312" w:cs="仿宋_GB2312" w:eastAsia="仿宋_GB2312"/>
                <w:sz w:val="24"/>
              </w:rPr>
              <w:t>残疾人中的</w:t>
            </w:r>
            <w:r>
              <w:rPr>
                <w:rFonts w:ascii="仿宋_GB2312" w:hAnsi="仿宋_GB2312" w:cs="仿宋_GB2312" w:eastAsia="仿宋_GB2312"/>
                <w:sz w:val="24"/>
              </w:rPr>
              <w:t>低保</w:t>
            </w:r>
            <w:r>
              <w:rPr>
                <w:rFonts w:ascii="仿宋_GB2312" w:hAnsi="仿宋_GB2312" w:cs="仿宋_GB2312" w:eastAsia="仿宋_GB2312"/>
                <w:sz w:val="24"/>
              </w:rPr>
              <w:t>户、监测户、一户多残</w:t>
            </w:r>
            <w:r>
              <w:rPr>
                <w:rFonts w:ascii="仿宋_GB2312" w:hAnsi="仿宋_GB2312" w:cs="仿宋_GB2312" w:eastAsia="仿宋_GB2312"/>
                <w:sz w:val="24"/>
              </w:rPr>
              <w:t>及其他困难残疾人倾斜。</w:t>
            </w:r>
            <w:r>
              <w:rPr>
                <w:rFonts w:ascii="仿宋_GB2312" w:hAnsi="仿宋_GB2312" w:cs="仿宋_GB2312" w:eastAsia="仿宋_GB2312"/>
                <w:sz w:val="24"/>
              </w:rPr>
              <w:t>居家托养以农村残疾人为主,</w:t>
            </w:r>
            <w:r>
              <w:rPr>
                <w:rFonts w:ascii="仿宋_GB2312" w:hAnsi="仿宋_GB2312" w:cs="仿宋_GB2312" w:eastAsia="仿宋_GB2312"/>
                <w:sz w:val="24"/>
              </w:rPr>
              <w:t>按照居住区域，</w:t>
            </w:r>
            <w:r>
              <w:rPr>
                <w:rFonts w:ascii="仿宋_GB2312" w:hAnsi="仿宋_GB2312" w:cs="仿宋_GB2312" w:eastAsia="仿宋_GB2312"/>
                <w:sz w:val="24"/>
              </w:rPr>
              <w:t>以</w:t>
            </w:r>
            <w:r>
              <w:rPr>
                <w:rFonts w:ascii="仿宋_GB2312" w:hAnsi="仿宋_GB2312" w:cs="仿宋_GB2312" w:eastAsia="仿宋_GB2312"/>
                <w:sz w:val="24"/>
                <w:color w:val="000000"/>
              </w:rPr>
              <w:t>徐家坪镇为重点实施</w:t>
            </w:r>
            <w:r>
              <w:rPr>
                <w:rFonts w:ascii="仿宋_GB2312" w:hAnsi="仿宋_GB2312" w:cs="仿宋_GB2312" w:eastAsia="仿宋_GB2312"/>
                <w:sz w:val="24"/>
                <w:color w:val="000000"/>
              </w:rPr>
              <w:t>，若指标有剩余，向</w:t>
            </w:r>
            <w:r>
              <w:rPr>
                <w:rFonts w:ascii="仿宋_GB2312" w:hAnsi="仿宋_GB2312" w:cs="仿宋_GB2312" w:eastAsia="仿宋_GB2312"/>
                <w:sz w:val="24"/>
                <w:color w:val="000000"/>
              </w:rPr>
              <w:t>相邻</w:t>
            </w:r>
            <w:r>
              <w:rPr>
                <w:rFonts w:ascii="仿宋_GB2312" w:hAnsi="仿宋_GB2312" w:cs="仿宋_GB2312" w:eastAsia="仿宋_GB2312"/>
                <w:sz w:val="24"/>
                <w:color w:val="000000"/>
              </w:rPr>
              <w:t>镇</w:t>
            </w:r>
            <w:r>
              <w:rPr>
                <w:rFonts w:ascii="仿宋_GB2312" w:hAnsi="仿宋_GB2312" w:cs="仿宋_GB2312" w:eastAsia="仿宋_GB2312"/>
                <w:sz w:val="24"/>
                <w:color w:val="000000"/>
              </w:rPr>
              <w:t>街延伸。</w:t>
            </w:r>
          </w:p>
          <w:p>
            <w:pPr>
              <w:pStyle w:val="null3"/>
              <w:ind w:firstLine="480"/>
              <w:jc w:val="left"/>
            </w:pPr>
            <w:r>
              <w:rPr>
                <w:rFonts w:ascii="仿宋_GB2312" w:hAnsi="仿宋_GB2312" w:cs="仿宋_GB2312" w:eastAsia="仿宋_GB2312"/>
                <w:sz w:val="24"/>
              </w:rPr>
              <w:t>（一）服务周期及服务方式：服务周期</w:t>
            </w:r>
            <w:r>
              <w:rPr>
                <w:rFonts w:ascii="仿宋_GB2312" w:hAnsi="仿宋_GB2312" w:cs="仿宋_GB2312" w:eastAsia="仿宋_GB2312"/>
                <w:sz w:val="24"/>
              </w:rPr>
              <w:t>3个月。</w:t>
            </w:r>
            <w:r>
              <w:rPr>
                <w:rFonts w:ascii="仿宋_GB2312" w:hAnsi="仿宋_GB2312" w:cs="仿宋_GB2312" w:eastAsia="仿宋_GB2312"/>
                <w:sz w:val="24"/>
              </w:rPr>
              <w:t>为符合条件的残疾人提供生活照料、日常护理、生活能力训练、社会适应能力辅导等服务。</w:t>
            </w:r>
          </w:p>
          <w:p>
            <w:pPr>
              <w:pStyle w:val="null3"/>
              <w:ind w:firstLine="480"/>
              <w:jc w:val="left"/>
            </w:pPr>
            <w:r>
              <w:rPr>
                <w:rFonts w:ascii="仿宋_GB2312" w:hAnsi="仿宋_GB2312" w:cs="仿宋_GB2312" w:eastAsia="仿宋_GB2312"/>
                <w:sz w:val="24"/>
                <w:color w:val="000000"/>
              </w:rPr>
              <w:t>（二）工作内容：1</w:t>
            </w:r>
            <w:r>
              <w:rPr>
                <w:rFonts w:ascii="仿宋_GB2312" w:hAnsi="仿宋_GB2312" w:cs="仿宋_GB2312" w:eastAsia="仿宋_GB2312"/>
                <w:sz w:val="24"/>
                <w:color w:val="000000"/>
              </w:rPr>
              <w:t>.承接机构适宜性评估有托养需求的残疾人，提出评估意见，县残联审核确定托养服务对象。2.承接机构向服务对象及其监护人告知服务设施、服务内容、服务承诺等基本信息。3.承接机构与服务对象或其监护人签订托养服务协议。4.根据残疾人不同类型及身体状况，制定个性化服务方案。5.</w:t>
            </w:r>
            <w:r>
              <w:rPr>
                <w:rFonts w:ascii="仿宋_GB2312" w:hAnsi="仿宋_GB2312" w:cs="仿宋_GB2312" w:eastAsia="仿宋_GB2312"/>
                <w:sz w:val="24"/>
                <w:color w:val="000000"/>
              </w:rPr>
              <w:t>为</w:t>
            </w:r>
            <w:r>
              <w:rPr>
                <w:rFonts w:ascii="仿宋_GB2312" w:hAnsi="仿宋_GB2312" w:cs="仿宋_GB2312" w:eastAsia="仿宋_GB2312"/>
                <w:sz w:val="24"/>
                <w:color w:val="000000"/>
              </w:rPr>
              <w:t>确保服务的针对性</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服务中可定期测评，适时调整方案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6.县残联不定期督查服务情况，项目完成后进行验收，承接机构将托养项目录入数据库。</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标的名称：180000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  日间照料以县城及周边镇街</w:t>
            </w:r>
            <w:r>
              <w:rPr>
                <w:rFonts w:ascii="仿宋_GB2312" w:hAnsi="仿宋_GB2312" w:cs="仿宋_GB2312" w:eastAsia="仿宋_GB2312"/>
                <w:sz w:val="24"/>
              </w:rPr>
              <w:t>居住在县城的</w:t>
            </w:r>
            <w:r>
              <w:rPr>
                <w:rFonts w:ascii="仿宋_GB2312" w:hAnsi="仿宋_GB2312" w:cs="仿宋_GB2312" w:eastAsia="仿宋_GB2312"/>
                <w:sz w:val="24"/>
              </w:rPr>
              <w:t>残疾人为主，服务对象由镇街摸底、县残联审核确定。</w:t>
            </w:r>
            <w:r>
              <w:rPr>
                <w:rFonts w:ascii="仿宋_GB2312" w:hAnsi="仿宋_GB2312" w:cs="仿宋_GB2312" w:eastAsia="仿宋_GB2312"/>
                <w:sz w:val="24"/>
              </w:rPr>
              <w:t>在县城及周边居住的有日间照料需求的残疾人，按照居住区域，分片实施，即：临江社区、北街社区、象山湾社区、略电社区、中学路社区及周边居住的残疾人。</w:t>
            </w:r>
            <w:r>
              <w:rPr>
                <w:rFonts w:ascii="仿宋_GB2312" w:hAnsi="仿宋_GB2312" w:cs="仿宋_GB2312" w:eastAsia="仿宋_GB2312"/>
                <w:sz w:val="24"/>
              </w:rPr>
              <w:t>为持有第二、三代残疾人证、在劳动年龄段内（男</w:t>
            </w:r>
            <w:r>
              <w:rPr>
                <w:rFonts w:ascii="仿宋_GB2312" w:hAnsi="仿宋_GB2312" w:cs="仿宋_GB2312" w:eastAsia="仿宋_GB2312"/>
                <w:sz w:val="24"/>
              </w:rPr>
              <w:t>16-59周岁，女16-54周岁）、未就业且需要照</w:t>
            </w:r>
            <w:r>
              <w:rPr>
                <w:rFonts w:ascii="仿宋_GB2312" w:hAnsi="仿宋_GB2312" w:cs="仿宋_GB2312" w:eastAsia="仿宋_GB2312"/>
                <w:sz w:val="24"/>
              </w:rPr>
              <w:t>护服务</w:t>
            </w:r>
            <w:r>
              <w:rPr>
                <w:rFonts w:ascii="仿宋_GB2312" w:hAnsi="仿宋_GB2312" w:cs="仿宋_GB2312" w:eastAsia="仿宋_GB2312"/>
                <w:sz w:val="24"/>
              </w:rPr>
              <w:t>的智力残疾人、稳定期的精神残疾人（指精神障碍已经在精神专科确诊并得到治疗，急性期症状已被控制，目前处于较稳定的状态，并经精神科医师风险评估可以转介托托养的精神残疾人）、重度肢体残疾人以及存在智力</w:t>
            </w:r>
            <w:r>
              <w:rPr>
                <w:rFonts w:ascii="仿宋_GB2312" w:hAnsi="仿宋_GB2312" w:cs="仿宋_GB2312" w:eastAsia="仿宋_GB2312"/>
                <w:sz w:val="24"/>
              </w:rPr>
              <w:t>、</w:t>
            </w:r>
            <w:r>
              <w:rPr>
                <w:rFonts w:ascii="仿宋_GB2312" w:hAnsi="仿宋_GB2312" w:cs="仿宋_GB2312" w:eastAsia="仿宋_GB2312"/>
                <w:sz w:val="24"/>
              </w:rPr>
              <w:t>精神</w:t>
            </w:r>
            <w:r>
              <w:rPr>
                <w:rFonts w:ascii="仿宋_GB2312" w:hAnsi="仿宋_GB2312" w:cs="仿宋_GB2312" w:eastAsia="仿宋_GB2312"/>
                <w:sz w:val="24"/>
              </w:rPr>
              <w:t>或</w:t>
            </w:r>
            <w:r>
              <w:rPr>
                <w:rFonts w:ascii="仿宋_GB2312" w:hAnsi="仿宋_GB2312" w:cs="仿宋_GB2312" w:eastAsia="仿宋_GB2312"/>
                <w:sz w:val="24"/>
              </w:rPr>
              <w:t>重度肢体残疾的多重残疾人。重点向</w:t>
            </w:r>
            <w:r>
              <w:rPr>
                <w:rFonts w:ascii="仿宋_GB2312" w:hAnsi="仿宋_GB2312" w:cs="仿宋_GB2312" w:eastAsia="仿宋_GB2312"/>
                <w:sz w:val="24"/>
              </w:rPr>
              <w:t>残疾人中的</w:t>
            </w:r>
            <w:r>
              <w:rPr>
                <w:rFonts w:ascii="仿宋_GB2312" w:hAnsi="仿宋_GB2312" w:cs="仿宋_GB2312" w:eastAsia="仿宋_GB2312"/>
                <w:sz w:val="24"/>
              </w:rPr>
              <w:t>低保</w:t>
            </w:r>
            <w:r>
              <w:rPr>
                <w:rFonts w:ascii="仿宋_GB2312" w:hAnsi="仿宋_GB2312" w:cs="仿宋_GB2312" w:eastAsia="仿宋_GB2312"/>
                <w:sz w:val="24"/>
              </w:rPr>
              <w:t>户、监测户、一户多残</w:t>
            </w:r>
            <w:r>
              <w:rPr>
                <w:rFonts w:ascii="仿宋_GB2312" w:hAnsi="仿宋_GB2312" w:cs="仿宋_GB2312" w:eastAsia="仿宋_GB2312"/>
                <w:sz w:val="24"/>
              </w:rPr>
              <w:t>及其他困难残疾人倾斜。</w:t>
            </w:r>
          </w:p>
          <w:p>
            <w:pPr>
              <w:pStyle w:val="null3"/>
              <w:ind w:firstLine="480"/>
              <w:jc w:val="left"/>
            </w:pPr>
            <w:r>
              <w:rPr>
                <w:rFonts w:ascii="仿宋_GB2312" w:hAnsi="仿宋_GB2312" w:cs="仿宋_GB2312" w:eastAsia="仿宋_GB2312"/>
                <w:sz w:val="24"/>
              </w:rPr>
              <w:t>（一）服务周期及服务方式：服务周期</w:t>
            </w:r>
            <w:r>
              <w:rPr>
                <w:rFonts w:ascii="仿宋_GB2312" w:hAnsi="仿宋_GB2312" w:cs="仿宋_GB2312" w:eastAsia="仿宋_GB2312"/>
                <w:sz w:val="24"/>
              </w:rPr>
              <w:t>3个月。</w:t>
            </w:r>
            <w:r>
              <w:rPr>
                <w:rFonts w:ascii="仿宋_GB2312" w:hAnsi="仿宋_GB2312" w:cs="仿宋_GB2312" w:eastAsia="仿宋_GB2312"/>
                <w:sz w:val="24"/>
              </w:rPr>
              <w:t>为符合条件的残疾人提供生活照料、日常护理、生活能力训练、社会适应能力辅导等服务。</w:t>
            </w:r>
          </w:p>
          <w:p>
            <w:pPr>
              <w:pStyle w:val="null3"/>
              <w:ind w:firstLine="480"/>
              <w:jc w:val="left"/>
            </w:pPr>
            <w:r>
              <w:rPr>
                <w:rFonts w:ascii="仿宋_GB2312" w:hAnsi="仿宋_GB2312" w:cs="仿宋_GB2312" w:eastAsia="仿宋_GB2312"/>
                <w:sz w:val="24"/>
                <w:color w:val="000000"/>
              </w:rPr>
              <w:t>（二）工作内容：</w:t>
            </w:r>
            <w:r>
              <w:rPr>
                <w:rFonts w:ascii="仿宋_GB2312" w:hAnsi="仿宋_GB2312" w:cs="仿宋_GB2312" w:eastAsia="仿宋_GB2312"/>
                <w:sz w:val="24"/>
                <w:color w:val="000000"/>
              </w:rPr>
              <w:t>1.承接机构适宜性评估有托养需求的残疾人，提出评估意见，县残联审核确定托养服务对象。2.承接机构向服务对象及其监护人告知服务设施、服务内容、服务承诺等基本信息。3.承接机构与服务对象或其监护人签订托养服务协议。4.根据残疾人不同类型及身体状况，制定个性化服务方案。5.</w:t>
            </w:r>
            <w:r>
              <w:rPr>
                <w:rFonts w:ascii="仿宋_GB2312" w:hAnsi="仿宋_GB2312" w:cs="仿宋_GB2312" w:eastAsia="仿宋_GB2312"/>
                <w:sz w:val="24"/>
                <w:color w:val="000000"/>
              </w:rPr>
              <w:t>为</w:t>
            </w:r>
            <w:r>
              <w:rPr>
                <w:rFonts w:ascii="仿宋_GB2312" w:hAnsi="仿宋_GB2312" w:cs="仿宋_GB2312" w:eastAsia="仿宋_GB2312"/>
                <w:sz w:val="24"/>
                <w:color w:val="000000"/>
              </w:rPr>
              <w:t>确保服务的针对性</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服务中可定期测评，适时调整方案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6.县残联不定期督查服务情况，项目完成后进行验收，承接机构将托养项目录入数据库。</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满足本项目采购内容需求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满足本项目采购内容需求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服务周期3个月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服务周期3个月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由采购人负责组织验收，或者邀请有关专家等进行验收，并填写政府采购项目验收报告单。验收须以合同、磋商文件及响应文件、澄清及国家相应的标准、规范等为依据。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由甲方负责组织验收，或者邀请有关专家等进行验收，并填写政府采购项目验收报告单。验收须以合同、磋商文件及响应文件、澄清及国家相应的标准、规范等为依据。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自合同签订后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项目完成经采购人验收合格后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2、如因乙方工作人员在履行职务过程中的疏忽、失职、过错等故意或者过失原因给甲方造成损失或侵害，包括但不限于甲方本身 的财产损失以及由此而导致的甲方对任何第三方的法律责任等，乙方对此均应承担全部的赔偿责任。 二、解决合同纠纷的方式 1、合同一经签订，不得随意变更、中止或终止。对确需变更、调整或者中止、终止合同的，应按规定履行相应的手续。 2、合同执行中发生争议的，甲、乙双方应协商解决，协商达不成一致时，可向甲方所在地人民法院提请诉讼。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医疗服务机构应具有卫生健康主管部门颁发的医疗机构执业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法定代表人（负责人）委托代理人参加磋商活动时，应提供法定代表人（负责人）委托授权书；法定代表人（负责人）亲自参加磋商活动时，应提供法定代表人（负责人）身份证复印件。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具有独立承担民事责任能力的法人、其他组织或自然人，投标人是法人或其他组织的应提供营业执照、事业单位法人证、民办非企业单位登记许可证或非企业专业服务机构执业许可证等证明文件，自然人的提供有效的自然人身份证明，医疗服务机构应具有卫生健康主管部门颁发的医疗机构执业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法定代表人（负责人）委托代理人参加磋商活动时，应提供法定代表人（负责人）委托授权书；法定代表人（负责人）亲自参加磋商活动时，应提供法定代表人（负责人）身份证复印件。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供应商应提交的相关资格证明材料.docx 服务内容及服务邀请应答表 类似项目业绩.docx 中小企业声明函 残疾人福利性单位声明函 商务应答表 服务方案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响应文件的签署盖章符合竞争性磋商文件要求</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供应商应提交的相关资格证明材料.docx 类似项目业绩.docx 中小企业声明函 残疾人福利性单位声明函 商务应答表 服务方案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供应商针对本项目提供项目服务方案，内容包含但不限于：①整体服务方案、②生活照料和护理方案、③康复与适应能力辅导方案、④安全保障方案、⑤工作进度计划及保障措施。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3.2分；缺2项，得2.4分；缺3项，得1.6分；缺4项，得0.8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供应商提供2023年01月01日至今完成的类似项目业绩证明，每提供一份得2分，最高得2分；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一、评审内容： 供应商针对本项目进行项目需求分析，内容包含但不限于：①项目内容及概况了解和分析、②工作内容理解与分析、③本项目重点难点分析并提出解决措施。二、评审标准：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供应商针对本项目提供项目服务方案，内容包含但不限于：①整体服务方案、②生活照料和护理方案、③康复与适应能力辅导方案、④安全保障方案、⑤工作进度计划及保障措施。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性差。三、赋分标准 ：1、完整性：方案内容完整全面，对评审内容均有描述及说明，得4分；缺1项，得3.2分；缺2项，得2.4分；缺3项，得1.6分；缺4项，得0.8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一、评审内容：供应商结合本项目要求，提供人员培训方案，明确培训内容。培训应包括岗前培训和在岗培训，内容包含但不限于：①基础护理技能、②健康应急处理、③心理与沟通技巧培训。二、评审标准：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质量管理及保障方案</w:t>
            </w:r>
          </w:p>
        </w:tc>
        <w:tc>
          <w:tcPr>
            <w:tcW w:type="dxa" w:w="2492"/>
          </w:tcPr>
          <w:p>
            <w:pPr>
              <w:pStyle w:val="null3"/>
            </w:pPr>
            <w:r>
              <w:rPr>
                <w:rFonts w:ascii="仿宋_GB2312" w:hAnsi="仿宋_GB2312" w:cs="仿宋_GB2312" w:eastAsia="仿宋_GB2312"/>
              </w:rPr>
              <w:t>一、评审内容：供应商针对本项目制定详细、具体、可行的质量管理及保障方案，内容包含但不限于：①服务质量保障措施及考核标准、②环境卫生保障方案、③回访制度和投诉处理机制。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2.6分；缺2项，得1.2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一、评审内容：针对本项目提供人员配备方案，内容包含但不限于：①人员配备情况、②职责分工及组织管理方案。二、评审标准：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4分；缺1项，得2分；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供应商提供2023年01月01日至今完成的类似项目业绩证明，每提供一份得2分，最高得2分； 注：业绩须是供应商完成的类似项目，以中标通知书或协议书（合同）加盖公章的复印件为准，否则此项将不得分。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磋商报价得分=（磋商基准价/最终磋商报价）×价格权值（即10%）×100 （因落实政府采购政策进行价格调整的，以调整后的价格计算评标基准价和磋商报价）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详见附件：类似项目业绩.docx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详见附件：拟签订采购合同文本（服务）.docx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