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版本号：ZCZB2026-GC00320260327001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健康管理中心提升改造项目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ZCZB2026-GC003</w:t>
      </w:r>
      <w:r>
        <w:br/>
      </w:r>
      <w:r>
        <w:br/>
      </w:r>
      <w:r>
        <w:br/>
      </w:r>
    </w:p>
    <w:p>
      <w:pPr>
        <w:pStyle w:val="null3"/>
        <w:jc w:val="center"/>
        <w:outlineLvl w:val="2"/>
      </w:pPr>
      <w:r>
        <w:rPr>
          <w:rFonts w:ascii="仿宋_GB2312" w:hAnsi="仿宋_GB2312" w:cs="仿宋_GB2312" w:eastAsia="仿宋_GB2312"/>
          <w:sz w:val="28"/>
          <w:b/>
        </w:rPr>
        <w:t>略阳县人民医院</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略阳县人民医院</w:t>
      </w:r>
      <w:r>
        <w:rPr>
          <w:rFonts w:ascii="仿宋_GB2312" w:hAnsi="仿宋_GB2312" w:cs="仿宋_GB2312" w:eastAsia="仿宋_GB2312"/>
        </w:rPr>
        <w:t>委托，拟对</w:t>
      </w:r>
      <w:r>
        <w:rPr>
          <w:rFonts w:ascii="仿宋_GB2312" w:hAnsi="仿宋_GB2312" w:cs="仿宋_GB2312" w:eastAsia="仿宋_GB2312"/>
        </w:rPr>
        <w:t>健康管理中心提升改造项目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ZCZB2026-GC003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健康管理中心提升改造项目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略阳县人民医院健康管理中心提升改造项目，建设地点位于汉中市略阳县人民医院,主要工程内容：对门诊综合楼5楼，面积576.29平方米，进行房屋建筑改造与装饰、同步完善电气设备安装、消防弱电、给排水、通风空调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采购包1（略阳县人民医院健康管理中心提升改造项目）：属于专门面向中小企业采购。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参加投标须提供&lt;&lt;法定代表人身份证明&gt;&gt;及身份证复印件;法定代表人授权他人参加投标，须提供&lt;&lt;法定代表人授权委托书&gt;&gt;、委托代理人身份证复印件。(材料应清晰可辨并进行电子签章)</w:t>
      </w:r>
    </w:p>
    <w:p>
      <w:pPr>
        <w:pStyle w:val="null3"/>
      </w:pPr>
      <w:r>
        <w:rPr>
          <w:rFonts w:ascii="仿宋_GB2312" w:hAnsi="仿宋_GB2312" w:cs="仿宋_GB2312" w:eastAsia="仿宋_GB2312"/>
        </w:rPr>
        <w:t>3、供应商资质：供应商应具备建设行政主管部门核发的建筑工程施工总承包三级（含三级）以上资质，并具有有效的安全生产许可证。(材料应清晰可辨并进行电子签章)</w:t>
      </w:r>
    </w:p>
    <w:p>
      <w:pPr>
        <w:pStyle w:val="null3"/>
      </w:pPr>
      <w:r>
        <w:rPr>
          <w:rFonts w:ascii="仿宋_GB2312" w:hAnsi="仿宋_GB2312" w:cs="仿宋_GB2312" w:eastAsia="仿宋_GB2312"/>
        </w:rPr>
        <w:t>4、拟派项目经理资质：供应商拟派项目经理具备建筑工程专业二级（含二级）以上注册建造师执业资格，并具有行业主管部门核发的有效的安全生产考核合格B证证书，在本单位注册，且未担任其他在建工程项目(提供无在建项目承诺书)。(材料应清晰可辨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p>
      <w:pPr>
        <w:pStyle w:val="null3"/>
      </w:pPr>
      <w:r>
        <w:rPr>
          <w:rFonts w:ascii="仿宋_GB2312" w:hAnsi="仿宋_GB2312" w:cs="仿宋_GB2312" w:eastAsia="仿宋_GB2312"/>
        </w:rPr>
        <w:t>6、非联合体投标：本项目不接受联合体投标(提供非联合体声明函)。(材料应清晰可辨并进行电子签章)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略阳县城关镇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13992653322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采购包1：831,800.00元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开户银行：中国建设银行股份有限公司汉中经济开发区支行</w:t>
            </w:r>
          </w:p>
          <w:p>
            <w:pPr>
              <w:pStyle w:val="null3"/>
            </w:pPr>
            <w:r>
              <w:rPr>
                <w:rFonts w:ascii="仿宋_GB2312" w:hAnsi="仿宋_GB2312" w:cs="仿宋_GB2312" w:eastAsia="仿宋_GB2312"/>
              </w:rPr>
              <w:t>银行账号：61050110066800000943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略阳县人民医院</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联系人：中采</w:t>
      </w:r>
    </w:p>
    <w:p>
      <w:pPr>
        <w:pStyle w:val="null3"/>
      </w:pPr>
      <w:r>
        <w:rPr>
          <w:rFonts w:ascii="仿宋_GB2312" w:hAnsi="仿宋_GB2312" w:cs="仿宋_GB2312" w:eastAsia="仿宋_GB2312"/>
        </w:rPr>
        <w:t>联系电话：0916-5377888</w:t>
      </w:r>
    </w:p>
    <w:p>
      <w:pPr>
        <w:pStyle w:val="null3"/>
      </w:pPr>
      <w:r>
        <w:rPr>
          <w:rFonts w:ascii="仿宋_GB2312" w:hAnsi="仿宋_GB2312" w:cs="仿宋_GB2312" w:eastAsia="仿宋_GB2312"/>
        </w:rPr>
        <w:t>地址：南郑区大河坎镇臻华府东门 21—118 号商铺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831,800.00</w:t>
      </w:r>
    </w:p>
    <w:p>
      <w:pPr>
        <w:pStyle w:val="null3"/>
      </w:pPr>
      <w:r>
        <w:rPr>
          <w:rFonts w:ascii="仿宋_GB2312" w:hAnsi="仿宋_GB2312" w:cs="仿宋_GB2312" w:eastAsia="仿宋_GB2312"/>
        </w:rPr>
        <w:t>采购包最高限价（元）: 831,800.00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满足医院标的</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831,800.00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标的名称：满足医院标的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2C3E50"/>
              </w:rPr>
              <w:t>1</w:t>
            </w:r>
            <w:r>
              <w:rPr>
                <w:rFonts w:ascii="仿宋_GB2312" w:hAnsi="仿宋_GB2312" w:cs="仿宋_GB2312" w:eastAsia="仿宋_GB2312"/>
                <w:color w:val="2C3E50"/>
              </w:rPr>
              <w:t>、工程概况：略阳县人民医院健康管理中心提升改造项目，建设地点位于汉中市略阳县人民医院</w:t>
            </w:r>
            <w:r>
              <w:rPr>
                <w:rFonts w:ascii="仿宋_GB2312" w:hAnsi="仿宋_GB2312" w:cs="仿宋_GB2312" w:eastAsia="仿宋_GB2312"/>
                <w:color w:val="2C3E50"/>
              </w:rPr>
              <w:t>,工程内容详见工程量清单及图纸。</w:t>
            </w:r>
          </w:p>
          <w:p>
            <w:pPr>
              <w:pStyle w:val="null3"/>
            </w:pPr>
            <w:r>
              <w:rPr>
                <w:rFonts w:ascii="仿宋_GB2312" w:hAnsi="仿宋_GB2312" w:cs="仿宋_GB2312" w:eastAsia="仿宋_GB2312"/>
                <w:color w:val="2C3E50"/>
              </w:rPr>
              <w:t>2、</w:t>
            </w:r>
            <w:r>
              <w:rPr>
                <w:rFonts w:ascii="仿宋_GB2312" w:hAnsi="仿宋_GB2312" w:cs="仿宋_GB2312" w:eastAsia="仿宋_GB2312"/>
                <w:color w:val="2C3E50"/>
              </w:rPr>
              <w:t>质保期：自竣工验收合格之日起算3</w:t>
            </w:r>
            <w:r>
              <w:rPr>
                <w:rFonts w:ascii="仿宋_GB2312" w:hAnsi="仿宋_GB2312" w:cs="仿宋_GB2312" w:eastAsia="仿宋_GB2312"/>
                <w:color w:val="2C3E50"/>
              </w:rPr>
              <w:t>年。</w:t>
            </w:r>
          </w:p>
          <w:p>
            <w:pPr>
              <w:pStyle w:val="null3"/>
            </w:pPr>
            <w:r>
              <w:rPr>
                <w:rFonts w:ascii="仿宋_GB2312" w:hAnsi="仿宋_GB2312" w:cs="仿宋_GB2312" w:eastAsia="仿宋_GB2312"/>
                <w:color w:val="2C3E50"/>
              </w:rPr>
              <w:t>3、</w:t>
            </w:r>
            <w:r>
              <w:rPr>
                <w:rFonts w:ascii="仿宋_GB2312" w:hAnsi="仿宋_GB2312" w:cs="仿宋_GB2312" w:eastAsia="仿宋_GB2312"/>
                <w:color w:val="2C3E50"/>
              </w:rPr>
              <w:t>计划工期：</w:t>
            </w:r>
            <w:r>
              <w:rPr>
                <w:rFonts w:ascii="仿宋_GB2312" w:hAnsi="仿宋_GB2312" w:cs="仿宋_GB2312" w:eastAsia="仿宋_GB2312"/>
                <w:color w:val="2C3E50"/>
              </w:rPr>
              <w:t>120</w:t>
            </w:r>
            <w:r>
              <w:rPr>
                <w:rFonts w:ascii="仿宋_GB2312" w:hAnsi="仿宋_GB2312" w:cs="仿宋_GB2312" w:eastAsia="仿宋_GB2312"/>
                <w:color w:val="2C3E50"/>
              </w:rPr>
              <w:t>日历天</w:t>
            </w:r>
          </w:p>
          <w:p>
            <w:pPr>
              <w:pStyle w:val="null3"/>
            </w:pPr>
            <w:r>
              <w:rPr>
                <w:rFonts w:ascii="仿宋_GB2312" w:hAnsi="仿宋_GB2312" w:cs="仿宋_GB2312" w:eastAsia="仿宋_GB2312"/>
                <w:color w:val="2C3E50"/>
              </w:rPr>
              <w:t>4、</w:t>
            </w:r>
            <w:r>
              <w:rPr>
                <w:rFonts w:ascii="仿宋_GB2312" w:hAnsi="仿宋_GB2312" w:cs="仿宋_GB2312" w:eastAsia="仿宋_GB2312"/>
                <w:color w:val="2C3E50"/>
              </w:rPr>
              <w:t>工程质量要求与验收依据</w:t>
            </w:r>
          </w:p>
          <w:p>
            <w:pPr>
              <w:pStyle w:val="null3"/>
            </w:pPr>
            <w:r>
              <w:rPr>
                <w:rFonts w:ascii="仿宋_GB2312" w:hAnsi="仿宋_GB2312" w:cs="仿宋_GB2312" w:eastAsia="仿宋_GB2312"/>
                <w:color w:val="2C3E50"/>
              </w:rPr>
              <w:t>(1)质量要求:中标人必须严格按照有关施工和</w:t>
            </w:r>
            <w:r>
              <w:rPr>
                <w:rFonts w:ascii="仿宋_GB2312" w:hAnsi="仿宋_GB2312" w:cs="仿宋_GB2312" w:eastAsia="仿宋_GB2312"/>
                <w:color w:val="2C3E50"/>
              </w:rPr>
              <w:t>验</w:t>
            </w:r>
            <w:r>
              <w:rPr>
                <w:rFonts w:ascii="仿宋_GB2312" w:hAnsi="仿宋_GB2312" w:cs="仿宋_GB2312" w:eastAsia="仿宋_GB2312"/>
                <w:color w:val="2C3E50"/>
              </w:rPr>
              <w:t>收规范进行施工，保证达到本工程</w:t>
            </w:r>
            <w:r>
              <w:rPr>
                <w:rFonts w:ascii="仿宋_GB2312" w:hAnsi="仿宋_GB2312" w:cs="仿宋_GB2312" w:eastAsia="仿宋_GB2312"/>
                <w:color w:val="2C3E50"/>
              </w:rPr>
              <w:t>“合格”的质量标准，通过有关部门</w:t>
            </w:r>
            <w:r>
              <w:rPr>
                <w:rFonts w:ascii="仿宋_GB2312" w:hAnsi="仿宋_GB2312" w:cs="仿宋_GB2312" w:eastAsia="仿宋_GB2312"/>
                <w:color w:val="2C3E50"/>
              </w:rPr>
              <w:t>验</w:t>
            </w:r>
            <w:r>
              <w:rPr>
                <w:rFonts w:ascii="仿宋_GB2312" w:hAnsi="仿宋_GB2312" w:cs="仿宋_GB2312" w:eastAsia="仿宋_GB2312"/>
                <w:color w:val="2C3E50"/>
              </w:rPr>
              <w:t>收。</w:t>
            </w:r>
          </w:p>
          <w:p>
            <w:pPr>
              <w:pStyle w:val="null3"/>
            </w:pPr>
            <w:r>
              <w:rPr>
                <w:rFonts w:ascii="仿宋_GB2312" w:hAnsi="仿宋_GB2312" w:cs="仿宋_GB2312" w:eastAsia="仿宋_GB2312"/>
                <w:color w:val="2C3E50"/>
              </w:rPr>
              <w:t>(2)验收方法:验收应按建筑工程适用的规范或标准及其他相关的规范和标准执行。</w:t>
            </w:r>
          </w:p>
          <w:p>
            <w:pPr>
              <w:pStyle w:val="null3"/>
            </w:pPr>
            <w:r>
              <w:rPr>
                <w:rFonts w:ascii="仿宋_GB2312" w:hAnsi="仿宋_GB2312" w:cs="仿宋_GB2312" w:eastAsia="仿宋_GB2312"/>
                <w:color w:val="2C3E50"/>
              </w:rPr>
              <w:t>(3)依据设计文件要求:本招标工程项目的材料、设备、施工必须达到现行中华人民共和国及</w:t>
            </w:r>
            <w:r>
              <w:rPr>
                <w:rFonts w:ascii="仿宋_GB2312" w:hAnsi="仿宋_GB2312" w:cs="仿宋_GB2312" w:eastAsia="仿宋_GB2312"/>
                <w:color w:val="2C3E50"/>
              </w:rPr>
              <w:t>省</w:t>
            </w:r>
            <w:r>
              <w:rPr>
                <w:rFonts w:ascii="仿宋_GB2312" w:hAnsi="仿宋_GB2312" w:cs="仿宋_GB2312" w:eastAsia="仿宋_GB2312"/>
                <w:color w:val="2C3E50"/>
              </w:rPr>
              <w:t>、市、行业的一切有关工程建设标准、法规、规范的要求。</w:t>
            </w:r>
          </w:p>
          <w:p>
            <w:pPr>
              <w:pStyle w:val="null3"/>
            </w:pPr>
            <w:r>
              <w:rPr>
                <w:rFonts w:ascii="仿宋_GB2312" w:hAnsi="仿宋_GB2312" w:cs="仿宋_GB2312" w:eastAsia="仿宋_GB2312"/>
                <w:color w:val="2C3E50"/>
              </w:rPr>
              <w:t>(4)以最新标准为准。</w:t>
            </w:r>
          </w:p>
          <w:p>
            <w:pPr>
              <w:pStyle w:val="null3"/>
            </w:pPr>
            <w:r>
              <w:rPr>
                <w:rFonts w:ascii="仿宋_GB2312" w:hAnsi="仿宋_GB2312" w:cs="仿宋_GB2312" w:eastAsia="仿宋_GB2312"/>
                <w:color w:val="2C3E50"/>
              </w:rPr>
              <w:t>5</w:t>
            </w:r>
            <w:r>
              <w:rPr>
                <w:rFonts w:ascii="仿宋_GB2312" w:hAnsi="仿宋_GB2312" w:cs="仿宋_GB2312" w:eastAsia="仿宋_GB2312"/>
                <w:color w:val="2C3E50"/>
              </w:rPr>
              <w:t>、根据工程设计要求，该项工程项目的材料、施工除必须达到以上标准外，还应满足设计要求和采购人在招标文件中的有关要求</w:t>
            </w:r>
            <w:r>
              <w:rPr>
                <w:rFonts w:ascii="仿宋_GB2312" w:hAnsi="仿宋_GB2312" w:cs="仿宋_GB2312" w:eastAsia="仿宋_GB2312"/>
                <w:color w:val="2C3E50"/>
              </w:rPr>
              <w:t>。</w:t>
            </w:r>
          </w:p>
          <w:p>
            <w:pPr>
              <w:pStyle w:val="null3"/>
            </w:pPr>
            <w:r>
              <w:rPr>
                <w:rFonts w:ascii="仿宋_GB2312" w:hAnsi="仿宋_GB2312" w:cs="仿宋_GB2312" w:eastAsia="仿宋_GB2312"/>
                <w:color w:val="2C3E50"/>
              </w:rPr>
              <w:t>6</w:t>
            </w:r>
            <w:r>
              <w:rPr>
                <w:rFonts w:ascii="仿宋_GB2312" w:hAnsi="仿宋_GB2312" w:cs="仿宋_GB2312" w:eastAsia="仿宋_GB2312"/>
                <w:color w:val="2C3E50"/>
              </w:rPr>
              <w:t>、本工程所有主要材料必须符合设计要求及国家有关规定，有出厂合格证，经质检部门检验合格。</w:t>
            </w:r>
          </w:p>
          <w:p>
            <w:pPr>
              <w:pStyle w:val="null3"/>
            </w:pPr>
            <w:r>
              <w:rPr>
                <w:rFonts w:ascii="仿宋_GB2312" w:hAnsi="仿宋_GB2312" w:cs="仿宋_GB2312" w:eastAsia="仿宋_GB2312"/>
                <w:color w:val="2C3E50"/>
              </w:rPr>
              <w:t>7</w:t>
            </w:r>
            <w:r>
              <w:rPr>
                <w:rFonts w:ascii="仿宋_GB2312" w:hAnsi="仿宋_GB2312" w:cs="仿宋_GB2312" w:eastAsia="仿宋_GB2312"/>
                <w:color w:val="2C3E50"/>
              </w:rPr>
              <w:t>、未尽的工程质量技术要求均按现行国家、省、市有关规范和标准执行。</w:t>
            </w:r>
          </w:p>
          <w:p>
            <w:pPr>
              <w:pStyle w:val="null3"/>
            </w:pPr>
            <w:r>
              <w:rPr>
                <w:rFonts w:ascii="仿宋_GB2312" w:hAnsi="仿宋_GB2312" w:cs="仿宋_GB2312" w:eastAsia="仿宋_GB2312"/>
                <w:sz w:val="21"/>
                <w:color w:val="2C3E50"/>
              </w:rPr>
              <w:t>8</w:t>
            </w:r>
            <w:r>
              <w:rPr>
                <w:rFonts w:ascii="仿宋_GB2312" w:hAnsi="仿宋_GB2312" w:cs="仿宋_GB2312" w:eastAsia="仿宋_GB2312"/>
                <w:sz w:val="21"/>
                <w:color w:val="2C3E50"/>
              </w:rPr>
              <w:t>、</w:t>
            </w:r>
            <w:r>
              <w:rPr>
                <w:rFonts w:ascii="仿宋_GB2312" w:hAnsi="仿宋_GB2312" w:cs="仿宋_GB2312" w:eastAsia="仿宋_GB2312"/>
                <w:color w:val="2C3E50"/>
              </w:rPr>
              <w:t>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lt;&lt;法定代表人身份证明&gt;&gt;及身份证复印件;法定代表人授权他人参加投标，须提供&lt;&lt;法定代表人授权委托书&gt;&gt;、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供应商应具备建设行政主管部门核发的建筑工程施工总承包三级（含三级）以上资质，并具有有效的安全生产许可证。(材料应清晰可辨并进行电子签章)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供应商拟派项目经理具备建筑工程专业二级（含二级）以上注册建造师执业资格，并具有行业主管部门核发的有效的安全生产考核合格B证证书，在本单位注册，且未担任其他在建工程项目(提供无在建项目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供应商应提交的相关资格证明材料.docx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每轮总报价唯一且未超过本项目最高限价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一、评审内容：针对本项目施工内容制定施工方案，包括①施工部署；②项目重难点分析；③关键工序的施工方法及实施要点；④管理制度。 二、本次评审严格按照完整性、落地性、针对性三大核心维度进行量化打分，每个评审板块满分3分，每满足1项评审标准得1分，未满足或部分满足不得分，无中间分值。 三、赋分标准（12分）：1、施工部署（3分）：方案中施工部署内容全面，包含项目组织机构设置、施工区段划分、施工进度计划安排、劳动力配置、机械设备配置、材料供应计划、施工场地布置等全部核心内容，无缺项、漏项得1 分,施工部署内容贴合项目现场实际施工条件、工期要求、资源配置情况，各项部署安排步骤清晰、逻辑合理，可直接指导现场施工实施，无脱离实际的空想性内容得1 分，施工部署紧扣本项目施工特点、规模、施工环境，针对项目专属情况制定专属部署方案，无通用模板化、照搬其他项目的内容得1分，满分3 分；2、项目重难点分析（3分）：全面识别本项目所有施工重难点，涵盖技术难点、施工环境难点、质量管控难点、安全管控难点、进度管控难点等，对每个重难点均有详细描述，无遗漏得1分，针对识别出的每个施工重难点，均提出清晰、具体、可落地的应对措施及解决方案，措施可直接用于现场施工管控，无空泛、无操作性的表述得1分，重难点分析精准匹配本项目施工实际，准确贴合项目施工工艺、现场环境、工程规模特点，无错误识别、无泛泛而谈的通用重难点内容得1分,满分3 分；3、关键工序的施工方法及实施要点（3分）：全面梳理本项目所有关键工序，对每道关键工序的施工流程、施工工艺、操作步骤、质量控制要点、安全注意事项均有详细描述，内容完整无缺失得1分，关键工序施工方法步骤清晰、流程合理，实施要点具体、可操作性强，符合现行施工规范、标准及项目现场施工条件，可直接指导工人现场作业得1分，施工方法及实施要点紧扣本项目关键工序的施工特点、技术要求，针对工序专属特性制定，符合项目施工工艺标准，无通用化、照搬规范原文无细化的内容得1分,满分3 分；4、管理制度（3分）：建立完善的项目施工管理制度体系，包含质量管理制度、安全管理制度、进度管理制度、成本管理制度、人员管理制度、资料管理制度、现场文明施工管理制度等全部核心制度，每项制度内容详细得1分，各项管理制度条款清晰、责任明确、考核标准具体，贴合项目管理实际需求，可直接执行落地，无模糊不清、无法落实的制度条款得1分，管理制度针对本项目施工管理特点、管理难点制定，适配项目管理团队及现场管理模式，无通用制度模板、无结合项目实际调整的内容得1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一、评审内容：针对本项目制定确保安全生产的技术组织措施，包括①安全生产管理制度；②安全生产防护措施。 二、评审标准：本次评审严格按照完整性、落地性、针对性三大核心维度进行量化打分，每个评审板块满分3分，每满足1项评审标准得1分，未满足或部分满足不得分，无中间分值。 三、赋分标准（6分）：1、安全生产管理制度（3分）：方案中安全生产管理制度体系全面，包含安全生产责任制、安全教育培训制度、安全技术交底制度、安全检查巡查制度、安全奖惩制度、特种作业人员管理制度、安全应急管理制度等核心制度，所有制度均有详细条款描述，无缺项、漏项，得1分，各项安全生产管理制度贴合本项目施工规模、现场环境、作业特点，制度条款清晰、责任分工明确、执行流程具体，可直接落地执行，无空泛、模糊、无法实操的表述，得1分，管理制度紧扣本项目安全生产管控重点与风险点，结合项目实际编制，无照搬通用模板、脱离项目实际的内容，制度条款适配本项目管理团队与现场管控需求，得1分，满分3分；2、安全生产防护措施（3分）：方案中安全生产防护措施覆盖全面，包含施工现场临边洞口防护、高空作业防护、施工用电防护、机械设备安全防护、消防防火防护、劳动防护用品配备、现场警示标识设置等全部关键防护内容，每项防护措施均有详细说明，无遗漏，得1分，各项防护措施步骤清晰、操作规范，符合国家及行业安全生产规范标准，贴合项目现场施工条件，物资配备、实施流程、管控节点明确，可直接指导现场防护作业实施，得1分，防护措施精准对应本项目施工安全风险隐患，针对项目专属作业场景、高危工序制定专项防护方案，无通用化、模板化内容，防护措施科学合理、适配项目实际安全管控需求，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供应商针对本项目编制确保工程质量的技术组织措施，内容包含:①质量目标；②工程质量管理体系；③工程质量管理措施。 二、评审标准：本次评审严格按照完整性、落地性、针对性三大核心维度进行量化打分，每个评审板块满分3分，每满足1项评审标准得1分，未满足或部分满足不得分，无中间分值。 三、赋分标准（9分）：1、质量目标（3分）：明确制定项目总体质量标准、分部分项工程质量要求、质量验收依据，内容完整无缺项、无简略表述，得1分，质量目标符合项目实际规模与施工要求，指标清晰可量化、可验收，无空泛模糊、无法考核的内容，具备实操考核性，得1分，紧扣本项目施工属性与专业特点制定，无通用模板化内容，目标设定贴合项目实际质量管控需求，得1分，满分3分；2、工程质量管理体系（3分）：完整搭建质量管理组织机构，明确各级人员岗位职责、管控层级及质量管控流程，内容全面无缺失，得1分，组织机构设置合理、岗位职责清晰明确，管控流程贴合项目现场管理实际，可直接落地运行，无脱离实际的架空内容，得1分，针对本项目质量管控重点与难点搭建体系，适配项目管理团队模式，无照搬通用体系内容，得1分，满分3分；3、工程质量管理措施（3分）：覆盖施工全过程质量管控，包含原材料、工序、隐蔽工程、验收、整改等全流程措施，内容详细无遗漏，得1分，措施步骤清晰、规范可行，符合行业质量管控标准，贴合项目施工条件，可直接指导现场管控工作，得1分，精准对接本项目关键工序与质量风险点，制定专项管控措施，无泛泛而谈的通用内容，能切实解决实际质量问题，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供应商针对本项目编制确保工期的技术组织措施，内容包含:①施工进度安排；②进度控制体系；③资源保障方案。 二、评审标准：本次评审严格按照完整性、落地性、针对性三大核心维度进行量化打分，每个评审板块满分3分，每满足1项评审标准得1分，未满足或部分满足不得分，无中间分值。 三、赋分标准（9分）：1、施工进度安排（3分）：施工进度安排内容全面，明确包含总工期目标、各分部分项工程施工起止时间、施工工序衔接安排、进度关键节点设定、进度计划图表（如横道图/网络图）等全部核心内容，表述详细无缺项、漏项，得1分，施工进度安排贴合本项目实际施工内容、现场条件及合同工期要求，工序逻辑合理、节点清晰可执行，符合常规施工效率，无脱离实际、工期排布不合理的内容，可直接落地实施，得1分，进度安排紧扣本项目施工特点、规模及作业环境，结合项目专属施工难点制定，无照搬通用模板、脱离本项目实际的排布内容，工期规划科学合理，得1分，满分3分；2、进度控制体系（3分）：进度控制体系搭建完善，明确包含进度管控组织机构、各级管控人员岗位职责、进度监控流程、偏差预警机制、进度调整预案等全部核心内容，体系架构完整无缺失，得1分，进度控制体系贴合项目实际管理模式，人员分工明确、管控流程步骤清晰，预警及调整方案可直接操作，无空泛、无法落地的体系条款，得1分，进度控制体系针对本项目进度管控风险点、关键节点制定，适配项目施工团队与管理需求，无通用化、模板化内容，能切实把控项目施工进度，得1分，满分3分；3、资源保障方案（3分）：3、资源保障方案（3分）：资源保障方案内容全面，覆盖劳动力、施工机械设备、工程材料、资金等核心施工资源，明确各资源配置数量、进场时间、调配计划，内容详细无遗漏，得1分，资源保障方案切合项目实际施工进度需求，资源数量充足、进场时间与施工节点匹配，调配流程合理，符合现场施工实际，可直接保障施工进度推进，无虚配、错配资源的内容，得1分，资源保障方案结合本项目施工节奏、工序需求及现场条件制定，针对进度关键节点配置专项资源，无泛泛而谈的通用保障内容，资源配置精准适配项目工期保障需求，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供应商针对本项目编制确保文明施工的技术措施及环境保护措施，内容包含:①文明施工管理制度；②文明施工管理措施；③环境卫生管理制度及管理职责：④ 环境保护措施。 二、评审标准：本次评审严格按照完整性、落地性、针对性三大核心维度进行量化打分，每个评审板块满分3分，每满足1项评审标准得1分，未满足或部分满足不得分，无中间分值。 三、赋分标准（12分）1、文明施工管理制度（3分）：文明施工管理制度体系完整，包含现场围挡管理、场地布置管理、物料堆放管理、现场标识管理、人员行为规范等核心制度，所有制度条款详细，无缺项、漏项，得1分，各项制度贴合项目施工现场规模、作业环境与施工特点，条款清晰、责任明确、执行流程具体，可直接落地执行，无空泛、无法实操的表述，得1分，制度紧扣本项目文明施工管控重点，结合项目现场实际制定，无照搬通用模板、脱离项目实际的内容，适配项目现场管理需求，得1分，满分3分；2、文明施工管理措施（3分）：文明施工管理措施全面，涵盖现场围挡搭建、施工区域划分、物料码放、现场保洁、扬尘控制、作业人员着装规范、现场公示标识设置等全部核心措施，内容详细无遗漏，得1分，各项措施步骤清晰、操作规范，符合文明施工相关规范要求，贴合项目现场施工条件，实施节点、管控要求明确，可直接指导现场作业，得1分，措施精准对应本项目施工现场实际情况，针对项目施工场景、周边环境制定专项管控措施，无通用化、模板化内容，科学合理且贴合项目需求，得1分，满分3分；3、环境卫生管理制度及管理职责（3分）：环境卫生管理制度完善，明确包含施工现场卫生、生活区卫生、垃圾清运、卫生消杀等制度，同时清晰界定各岗位环境卫生管理职责，内容全面无缺失，得1分，卫生制度可操作性强，管理职责分工明确、责任到人，卫生管控流程清晰，符合项目现场环境卫生管理实际，可直接落地执行，得1分，制度与职责结合本项目施工环境卫生痛点、管理难点制定，适配项目现场作业与生活区布局，无泛泛而谈的通用内容，切实解决现场卫生管理问题，得1分，满分3分；4、环境保护措施（3分）：环境保护措施覆盖全面，包含扬尘污染防治、噪声污染控制、水污染处理、固体废弃物处置、土壤保护、周边生态防护等全部核心环保内容，每项措施均有详细说明，无遗漏，得1分，各项环保措施符合国家及地方环保规范要求，贴合项目施工工艺与周边环境条件，实施方法具体、可落地，能有效防控施工环境影响，得1分，措施针对本项目施工环保风险点、周边敏感环境制定专项方案，无通用模板内容，精准适配项目环保管控需求，科学可行，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 二、评审标准：本次评审严格按照完整性、针对性2项评分维度，采用量化计分、无中间分值原则，严格按文件实际内容打分，未提供对应内容本项得0分。 三、赋分标准（3分）： 1.完整性（1.5分）：文件中详细列明本项目拟投入的所有主要施工机械设备，包含设备名称、规格型号、数量、进场时间、设备性能状态、权属情况全部核心信息，内容完整无缺项、无简略模糊表述，得1.5分，仅列明部分设备、缺失核心信息或表述简略，得0分； 2.针对性（1.5分）：拟投入的机械设备规格、数量、性能完全匹配本项目施工内容、施工工艺、工期要求及现场作业条件，设备配置数量充足、型号适配施工工序，无冗余配置、无低配漏配，贴合项目实际施工需求，具备现场实施可行性，得1.5分，设备配置与项目施工需求不匹配、无法满足施工要求，得0分；未提供相关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一、评审内容：供应商针对本项目特点提供切实可行的施工安全承诺、施工质量保证承诺、工期保证承诺、文明施工承诺，保证按时按质按量完成本项目。 二、赋分标准（4分）：每提供一项承诺得1分，满分4分。未提供此项内容不得分。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一、评审内容：供应商具有类似项目业绩。 二、赋分标准（5分）：供应商自2023年3月至今完成的类似项目业绩，每提供一个合格业绩得2.5分，满分5分。未提供此项内容不得分。 注：业绩以中标（成交）通知书和合同（协议书)为准，响应文件内附复印件并签章。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一、评审内容：项目经理具备建筑工程相关专业技术职称。 二、赋分标准（4分）：中级及以上技术职称得4分，其他不得分。响应文件内附职称证复印件并签章。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项目团队管理人员</w:t>
            </w:r>
          </w:p>
        </w:tc>
        <w:tc>
          <w:tcPr>
            <w:tcW w:type="dxa" w:w="2492"/>
          </w:tcPr>
          <w:p>
            <w:pPr>
              <w:pStyle w:val="null3"/>
            </w:pPr>
            <w:r>
              <w:rPr>
                <w:rFonts w:ascii="仿宋_GB2312" w:hAnsi="仿宋_GB2312" w:cs="仿宋_GB2312" w:eastAsia="仿宋_GB2312"/>
              </w:rPr>
              <w:t>一、评审内容：所配备技术负责人、质检员、安全员（具有安全生考核合格证书C类）、材料员、施工员、资料员，以上人员应提供相关的执业资格证书（岗位证书）。二、赋分标准（6分）：全部满足得6分，每缺少一人或相应人员无证书证件扣 1 分，扣完为止。响应文件内附相应人员证书证件复印件并签章。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价格分统一采用低价优先法计算，即满足采购文件要求且投标价格最低的投标报价为评标基准价，其价格分为满分。其他投标人的价格分统一按照下列公式计算:价格分=(评标基准价/投标报价)x报价分值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