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版本号：ZYZH2026-01320260306001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略阳城墙遗址保护加固工程设计服务项目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ZYZH2026-013</w:t>
      </w:r>
      <w:r>
        <w:br/>
      </w:r>
      <w:r>
        <w:br/>
      </w:r>
      <w:r>
        <w:br/>
      </w:r>
    </w:p>
    <w:p>
      <w:pPr>
        <w:pStyle w:val="null3"/>
        <w:jc w:val="center"/>
        <w:outlineLvl w:val="2"/>
      </w:pPr>
      <w:r>
        <w:rPr>
          <w:rFonts w:ascii="仿宋_GB2312" w:hAnsi="仿宋_GB2312" w:cs="仿宋_GB2312" w:eastAsia="仿宋_GB2312"/>
          <w:sz w:val="28"/>
          <w:b/>
        </w:rPr>
        <w:t>略阳县文化和旅游局</w:t>
      </w:r>
    </w:p>
    <w:p>
      <w:pPr>
        <w:pStyle w:val="null3"/>
        <w:jc w:val="center"/>
        <w:outlineLvl w:val="2"/>
      </w:pPr>
      <w:r>
        <w:rPr>
          <w:rFonts w:ascii="仿宋_GB2312" w:hAnsi="仿宋_GB2312" w:cs="仿宋_GB2312" w:eastAsia="仿宋_GB2312"/>
          <w:sz w:val="28"/>
          <w:b/>
        </w:rPr>
        <w:t>中亿正恒工程管理有限公司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中亿正恒工程管理有限公司</w:t>
      </w:r>
      <w:r>
        <w:rPr>
          <w:rFonts w:ascii="仿宋_GB2312" w:hAnsi="仿宋_GB2312" w:cs="仿宋_GB2312" w:eastAsia="仿宋_GB2312"/>
        </w:rPr>
        <w:t>（以下简称“代理机构”）受</w:t>
      </w:r>
      <w:r>
        <w:rPr>
          <w:rFonts w:ascii="仿宋_GB2312" w:hAnsi="仿宋_GB2312" w:cs="仿宋_GB2312" w:eastAsia="仿宋_GB2312"/>
        </w:rPr>
        <w:t>略阳县文化和旅游局</w:t>
      </w:r>
      <w:r>
        <w:rPr>
          <w:rFonts w:ascii="仿宋_GB2312" w:hAnsi="仿宋_GB2312" w:cs="仿宋_GB2312" w:eastAsia="仿宋_GB2312"/>
        </w:rPr>
        <w:t>委托，拟对</w:t>
      </w:r>
      <w:r>
        <w:rPr>
          <w:rFonts w:ascii="仿宋_GB2312" w:hAnsi="仿宋_GB2312" w:cs="仿宋_GB2312" w:eastAsia="仿宋_GB2312"/>
        </w:rPr>
        <w:t>略阳城墙遗址保护加固工程设计服务项目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ZYZH2026-013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略阳城墙遗址保护加固工程设计服务项目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略阳城墙遗址保护加固工程项目设计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采购包1（城墙遗址保护加固工程设计）：属于专门面向中小企业采购。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或其他组织或自然人，并出具营业执照（事业法人证）或证明文件或自然人的身份证明；：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法定代表人或单位负责人授权书及被授权人身份证（法定代表人或单位负责人直接参加投标除外，但须出示法定代表人或单位负责人身份证及营业执照复印件）：法定代表人或单位负责人授权书及被授权人身份证（法定代表人或单位负责人直接参加投标除外，但须出示法定代表人或单位负责人身份证及营业执照复印件）</w:t>
      </w:r>
    </w:p>
    <w:p>
      <w:pPr>
        <w:pStyle w:val="null3"/>
      </w:pPr>
      <w:r>
        <w:rPr>
          <w:rFonts w:ascii="仿宋_GB2312" w:hAnsi="仿宋_GB2312" w:cs="仿宋_GB2312" w:eastAsia="仿宋_GB2312"/>
        </w:rPr>
        <w:t>3、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提供《汉中市政府采购供应商资格承诺函》</w:t>
      </w:r>
    </w:p>
    <w:p>
      <w:pPr>
        <w:pStyle w:val="null3"/>
      </w:pPr>
      <w:r>
        <w:rPr>
          <w:rFonts w:ascii="仿宋_GB2312" w:hAnsi="仿宋_GB2312" w:cs="仿宋_GB2312" w:eastAsia="仿宋_GB2312"/>
        </w:rPr>
        <w:t>4、供应商须具有文物行政主管部门核发的文物保护工程勘察设计乙级或以上资质：供应商须具有文物行政主管部门核发的文物保护工程勘察设计乙级或以上资质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略阳县文化和旅游局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陕西省汉中市略阳县羌文化广场文化馆</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宁女士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0916—4827365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中亿正恒工程管理有限公司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河南省郑州市郑州高新技术产业开发区西三环河南省大学科技园（东区）18号楼B座5层501</w:t>
      </w:r>
    </w:p>
    <w:p>
      <w:pPr>
        <w:pStyle w:val="null3"/>
      </w:pPr>
      <w:r>
        <w:rPr>
          <w:rFonts w:ascii="仿宋_GB2312" w:hAnsi="仿宋_GB2312" w:cs="仿宋_GB2312" w:eastAsia="仿宋_GB2312"/>
        </w:rPr>
        <w:t xml:space="preserve"> 邮编： </w:t>
      </w:r>
      <w:r>
        <w:rPr>
          <w:rFonts w:ascii="仿宋_GB2312" w:hAnsi="仿宋_GB2312" w:cs="仿宋_GB2312" w:eastAsia="仿宋_GB2312"/>
        </w:rPr>
        <w:t>450000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18149292897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略阳县政府采购管理股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0916-4822998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采购包1：610,400.00元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开户名称：中亿正恒工程管理有限公司陕西分公司</w:t>
            </w:r>
          </w:p>
          <w:p>
            <w:pPr>
              <w:pStyle w:val="null3"/>
            </w:pPr>
            <w:r>
              <w:rPr>
                <w:rFonts w:ascii="仿宋_GB2312" w:hAnsi="仿宋_GB2312" w:cs="仿宋_GB2312" w:eastAsia="仿宋_GB2312"/>
              </w:rPr>
              <w:t>开户银行：中国银行股份有限公司汉中莲湖路支行</w:t>
            </w:r>
          </w:p>
          <w:p>
            <w:pPr>
              <w:pStyle w:val="null3"/>
            </w:pPr>
            <w:r>
              <w:rPr>
                <w:rFonts w:ascii="仿宋_GB2312" w:hAnsi="仿宋_GB2312" w:cs="仿宋_GB2312" w:eastAsia="仿宋_GB2312"/>
              </w:rPr>
              <w:t>银行账号：103713630342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发改价格〔2011〕534号文及《陕西省住房和城乡建设厅文件陕价行发【2014】88号》文收费标准向采购代理机构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略阳县文化和旅游局</w:t>
      </w:r>
      <w:r>
        <w:rPr>
          <w:rFonts w:ascii="仿宋_GB2312" w:hAnsi="仿宋_GB2312" w:cs="仿宋_GB2312" w:eastAsia="仿宋_GB2312"/>
        </w:rPr>
        <w:t>和</w:t>
      </w:r>
      <w:r>
        <w:rPr>
          <w:rFonts w:ascii="仿宋_GB2312" w:hAnsi="仿宋_GB2312" w:cs="仿宋_GB2312" w:eastAsia="仿宋_GB2312"/>
        </w:rPr>
        <w:t>中亿正恒工程管理有限公司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略阳县文化和旅游局</w:t>
      </w:r>
      <w:r>
        <w:rPr>
          <w:rFonts w:ascii="仿宋_GB2312" w:hAnsi="仿宋_GB2312" w:cs="仿宋_GB2312" w:eastAsia="仿宋_GB2312"/>
        </w:rPr>
        <w:t>负责解释。除上述磋商文件内容，其他内容由</w:t>
      </w:r>
      <w:r>
        <w:rPr>
          <w:rFonts w:ascii="仿宋_GB2312" w:hAnsi="仿宋_GB2312" w:cs="仿宋_GB2312" w:eastAsia="仿宋_GB2312"/>
        </w:rPr>
        <w:t>中亿正恒工程管理有限公司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略阳县文化和旅游局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中亿正恒工程管理有限公司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质量达到国家行业合格标准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中亿正恒工程管理有限公司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中亿正恒工程管理有限公司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中亿正恒工程管理有限公司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联系人：李女士</w:t>
      </w:r>
    </w:p>
    <w:p>
      <w:pPr>
        <w:pStyle w:val="null3"/>
      </w:pPr>
      <w:r>
        <w:rPr>
          <w:rFonts w:ascii="仿宋_GB2312" w:hAnsi="仿宋_GB2312" w:cs="仿宋_GB2312" w:eastAsia="仿宋_GB2312"/>
        </w:rPr>
        <w:t>联系电话：18149292897</w:t>
      </w:r>
    </w:p>
    <w:p>
      <w:pPr>
        <w:pStyle w:val="null3"/>
      </w:pPr>
      <w:r>
        <w:rPr>
          <w:rFonts w:ascii="仿宋_GB2312" w:hAnsi="仿宋_GB2312" w:cs="仿宋_GB2312" w:eastAsia="仿宋_GB2312"/>
        </w:rPr>
        <w:t>地址：汉中市汉台区竹园天玺办公楼16楼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略阳城墙遗址保护加固工程项目设计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610,400.00</w:t>
      </w:r>
    </w:p>
    <w:p>
      <w:pPr>
        <w:pStyle w:val="null3"/>
      </w:pPr>
      <w:r>
        <w:rPr>
          <w:rFonts w:ascii="仿宋_GB2312" w:hAnsi="仿宋_GB2312" w:cs="仿宋_GB2312" w:eastAsia="仿宋_GB2312"/>
        </w:rPr>
        <w:t>采购包最高限价（元）: 610,400.00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略阳城墙遗址保护加固工程项目设计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610,400.00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标的名称：略阳城墙遗址保护加固工程项目设计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301"/>
              <w:gridCol w:w="516"/>
              <w:gridCol w:w="1730"/>
            </w:tblGrid>
            <w:tr>
              <w:tc>
                <w:tcPr>
                  <w:tcW w:type="dxa" w:w="3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5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技术要求名称</w:t>
                  </w:r>
                </w:p>
              </w:tc>
              <w:tc>
                <w:tcPr>
                  <w:tcW w:type="dxa" w:w="17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技术参数与性能指标</w:t>
                  </w:r>
                </w:p>
              </w:tc>
            </w:tr>
            <w:tr>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设计目标</w:t>
                  </w:r>
                </w:p>
              </w:tc>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1）最大限度地保护略阳城墙遗址的真实性、完整性，为遗址的长久保存提供科学、合理的措施和手段。</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2）在注重遗址现状保护的前提下，适当标识略阳城墙遗址的范围和边界，保护遗址的真实性以及场地空间环境结构的完整性。</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3）对遗址进行适当的开放展示与积极的研究，向公众充分展示其所具有的文化价值。</w:t>
                  </w:r>
                </w:p>
              </w:tc>
            </w:tr>
            <w:tr>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项目内容</w:t>
                  </w:r>
                </w:p>
              </w:tc>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本工程针对略阳城墙遗址中保存相对完整的东半部分墙体进行保护加固，并遵循</w:t>
                  </w:r>
                  <w:r>
                    <w:rPr>
                      <w:rFonts w:ascii="仿宋_GB2312" w:hAnsi="仿宋_GB2312" w:cs="仿宋_GB2312" w:eastAsia="仿宋_GB2312"/>
                      <w:sz w:val="24"/>
                    </w:rPr>
                    <w:t>“最小干预”和“抢险加固”原则。具体内容如下。</w:t>
                  </w:r>
                </w:p>
                <w:p>
                  <w:pPr>
                    <w:pStyle w:val="null3"/>
                    <w:jc w:val="both"/>
                  </w:pPr>
                  <w:r>
                    <w:rPr>
                      <w:rFonts w:ascii="仿宋_GB2312" w:hAnsi="仿宋_GB2312" w:cs="仿宋_GB2312" w:eastAsia="仿宋_GB2312"/>
                      <w:sz w:val="24"/>
                    </w:rPr>
                    <w:t>①植被清理与有害生物治理。</w:t>
                  </w:r>
                </w:p>
                <w:p>
                  <w:pPr>
                    <w:pStyle w:val="null3"/>
                    <w:jc w:val="both"/>
                  </w:pPr>
                  <w:r>
                    <w:rPr>
                      <w:rFonts w:ascii="仿宋_GB2312" w:hAnsi="仿宋_GB2312" w:cs="仿宋_GB2312" w:eastAsia="仿宋_GB2312"/>
                      <w:sz w:val="24"/>
                    </w:rPr>
                    <w:t>②夯土墙体结构性加固。</w:t>
                  </w:r>
                </w:p>
                <w:p>
                  <w:pPr>
                    <w:pStyle w:val="null3"/>
                    <w:jc w:val="both"/>
                  </w:pPr>
                  <w:r>
                    <w:rPr>
                      <w:rFonts w:ascii="仿宋_GB2312" w:hAnsi="仿宋_GB2312" w:cs="仿宋_GB2312" w:eastAsia="仿宋_GB2312"/>
                      <w:sz w:val="24"/>
                    </w:rPr>
                    <w:t>③墙体裂隙与洞穴封堵。</w:t>
                  </w:r>
                </w:p>
                <w:p>
                  <w:pPr>
                    <w:pStyle w:val="null3"/>
                    <w:jc w:val="both"/>
                  </w:pPr>
                  <w:r>
                    <w:rPr>
                      <w:rFonts w:ascii="仿宋_GB2312" w:hAnsi="仿宋_GB2312" w:cs="仿宋_GB2312" w:eastAsia="仿宋_GB2312"/>
                      <w:sz w:val="24"/>
                    </w:rPr>
                    <w:t>④城墙顶面排水系统修整。</w:t>
                  </w:r>
                </w:p>
                <w:p>
                  <w:pPr>
                    <w:pStyle w:val="null3"/>
                    <w:jc w:val="both"/>
                  </w:pPr>
                  <w:r>
                    <w:rPr>
                      <w:rFonts w:ascii="仿宋_GB2312" w:hAnsi="仿宋_GB2312" w:cs="仿宋_GB2312" w:eastAsia="仿宋_GB2312"/>
                      <w:sz w:val="24"/>
                    </w:rPr>
                    <w:t>⑤城墙根部场地修复与排水疏导。</w:t>
                  </w:r>
                </w:p>
                <w:p>
                  <w:pPr>
                    <w:pStyle w:val="null3"/>
                    <w:jc w:val="both"/>
                  </w:pPr>
                  <w:r>
                    <w:rPr>
                      <w:rFonts w:ascii="仿宋_GB2312" w:hAnsi="仿宋_GB2312" w:cs="仿宋_GB2312" w:eastAsia="仿宋_GB2312"/>
                      <w:sz w:val="24"/>
                    </w:rPr>
                    <w:t>⑥残存外包青砖维护。</w:t>
                  </w:r>
                </w:p>
                <w:p>
                  <w:pPr>
                    <w:pStyle w:val="null3"/>
                    <w:jc w:val="both"/>
                  </w:pPr>
                  <w:r>
                    <w:rPr>
                      <w:rFonts w:ascii="仿宋_GB2312" w:hAnsi="仿宋_GB2312" w:cs="仿宋_GB2312" w:eastAsia="仿宋_GB2312"/>
                      <w:sz w:val="24"/>
                    </w:rPr>
                    <w:t>⑦施工期与后期变形监测。</w:t>
                  </w:r>
                </w:p>
              </w:tc>
            </w:tr>
            <w:tr>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项目要求</w:t>
                  </w:r>
                </w:p>
              </w:tc>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为确保略阳城墙遗址保护加固工程科学、规范、有效地实施，在严格遵循《中华人民共和国文物保护法》及</w:t>
                  </w:r>
                  <w:r>
                    <w:rPr>
                      <w:rFonts w:ascii="仿宋_GB2312" w:hAnsi="仿宋_GB2312" w:cs="仿宋_GB2312" w:eastAsia="仿宋_GB2312"/>
                      <w:sz w:val="24"/>
                    </w:rPr>
                    <w:t>“保护第一、加强管理、挖掘价值、有效利用、让文物活起来”的方针下。本项目要求如下。</w:t>
                  </w:r>
                </w:p>
                <w:p>
                  <w:pPr>
                    <w:pStyle w:val="null3"/>
                    <w:jc w:val="both"/>
                  </w:pPr>
                  <w:r>
                    <w:rPr>
                      <w:rFonts w:ascii="仿宋_GB2312" w:hAnsi="仿宋_GB2312" w:cs="仿宋_GB2312" w:eastAsia="仿宋_GB2312"/>
                      <w:sz w:val="24"/>
                    </w:rPr>
                    <w:t>①根本原则：必须始终坚持“不改变文物原状”和“最小干预” 的原则。所有工程活动均以保护加固、消除安全隐患为首要目标，严禁任何形式的复原、重建或过度修缮。</w:t>
                  </w:r>
                </w:p>
                <w:p>
                  <w:pPr>
                    <w:pStyle w:val="null3"/>
                    <w:jc w:val="both"/>
                  </w:pPr>
                  <w:r>
                    <w:rPr>
                      <w:rFonts w:ascii="仿宋_GB2312" w:hAnsi="仿宋_GB2312" w:cs="仿宋_GB2312" w:eastAsia="仿宋_GB2312"/>
                      <w:sz w:val="24"/>
                    </w:rPr>
                    <w:t>②依据与程序：项目实施必须严格以陕西省文物局批复的《关于略阳城墙遗址保护加固工程立项的批复》陕文物函[2023]379号文件为依据。</w:t>
                  </w:r>
                </w:p>
                <w:p>
                  <w:pPr>
                    <w:pStyle w:val="null3"/>
                    <w:jc w:val="both"/>
                  </w:pPr>
                  <w:r>
                    <w:rPr>
                      <w:rFonts w:ascii="仿宋_GB2312" w:hAnsi="仿宋_GB2312" w:cs="仿宋_GB2312" w:eastAsia="仿宋_GB2312"/>
                      <w:sz w:val="24"/>
                    </w:rPr>
                    <w:t>③工程性质：本工程定性为 文物保护修缮工程 ，所有技术措施和管理程序须符合《文物保护工程管理办法》的规定。</w:t>
                  </w:r>
                </w:p>
                <w:p>
                  <w:pPr>
                    <w:pStyle w:val="null3"/>
                    <w:jc w:val="both"/>
                  </w:pPr>
                  <w:r>
                    <w:rPr>
                      <w:rFonts w:ascii="仿宋_GB2312" w:hAnsi="仿宋_GB2312" w:cs="仿宋_GB2312" w:eastAsia="仿宋_GB2312"/>
                      <w:sz w:val="24"/>
                    </w:rPr>
                    <w:t>④本项目编制应满足国家文物局颁布的《文物保护工程设计文件编制深度要求（2013）》文件要求。</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成果交付期限：10天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略阳县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质量达到国家行业合格标准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项目竣工完成后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用转账支票或银行电汇形式提交的投标保证金必须从其基本账户转出，投标供应商在缴纳保证金时应注明项目名称。2、采用银行保函形式提交投标保证金的，应用基本账户保函的银行或市级银行。注：1.须将原件于投标截止时间前一个工作日内交至代理机构财务处换取保证金收据，2.保证金收据换取地址为:汉中市汉台区竹园天玺办公楼16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控股承诺.docx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332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1661"/>
          </w:tcPr>
          <w:p>
            <w:pPr>
              <w:pStyle w:val="null3"/>
            </w:pPr>
            <w:r>
              <w:rPr>
                <w:rFonts w:ascii="仿宋_GB2312" w:hAnsi="仿宋_GB2312" w:cs="仿宋_GB2312" w:eastAsia="仿宋_GB2312"/>
              </w:rPr>
              <w:t>法定代表人证明书或授权委托书.docx 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供应商须具有文物行政主管部门核发的文物保护工程勘察设计乙级或以上资质</w:t>
            </w:r>
          </w:p>
        </w:tc>
        <w:tc>
          <w:tcPr>
            <w:tcW w:type="dxa" w:w="3322"/>
          </w:tcPr>
          <w:p>
            <w:pPr>
              <w:pStyle w:val="null3"/>
            </w:pPr>
            <w:r>
              <w:rPr>
                <w:rFonts w:ascii="仿宋_GB2312" w:hAnsi="仿宋_GB2312" w:cs="仿宋_GB2312" w:eastAsia="仿宋_GB2312"/>
              </w:rPr>
              <w:t>供应商须具有文物行政主管部门核发的文物保护工程勘察设计乙级或以上资质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服务内容及服务邀请应答表 供应商应提交的相关资格证明材料.docx 商务应答表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保证金交纳</w:t>
            </w:r>
          </w:p>
        </w:tc>
        <w:tc>
          <w:tcPr>
            <w:tcW w:type="dxa" w:w="3322"/>
          </w:tcPr>
          <w:p>
            <w:pPr>
              <w:pStyle w:val="null3"/>
            </w:pPr>
            <w:r>
              <w:rPr>
                <w:rFonts w:ascii="仿宋_GB2312" w:hAnsi="仿宋_GB2312" w:cs="仿宋_GB2312" w:eastAsia="仿宋_GB2312"/>
              </w:rPr>
              <w:t>应按要求提供保证金交纳凭证复印件</w:t>
            </w:r>
          </w:p>
        </w:tc>
        <w:tc>
          <w:tcPr>
            <w:tcW w:type="dxa" w:w="1661"/>
          </w:tcPr>
          <w:p>
            <w:pPr>
              <w:pStyle w:val="null3"/>
            </w:pPr>
            <w:r>
              <w:rPr>
                <w:rFonts w:ascii="仿宋_GB2312" w:hAnsi="仿宋_GB2312" w:cs="仿宋_GB2312" w:eastAsia="仿宋_GB2312"/>
              </w:rPr>
              <w:t>保证金.pdf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应按照招标文件要求签署、盖章</w:t>
            </w:r>
          </w:p>
        </w:tc>
        <w:tc>
          <w:tcPr>
            <w:tcW w:type="dxa" w:w="1661"/>
          </w:tcPr>
          <w:p>
            <w:pPr>
              <w:pStyle w:val="null3"/>
            </w:pPr>
            <w:r>
              <w:rPr>
                <w:rFonts w:ascii="仿宋_GB2312" w:hAnsi="仿宋_GB2312" w:cs="仿宋_GB2312" w:eastAsia="仿宋_GB2312"/>
              </w:rPr>
              <w:t>响应文件封面 法定代表人证明书或授权委托书.docx 标的清单 报价表 响应函 控股承诺.docx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对本项目理解及分析（10分） 内容完整、描述详尽、可实施、且有针对性得10分；内容完整、可实施得7分；方案基本完整得3分；未提供不得分。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项目理解.docx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总体设计方案（5分） 内容完整、可实施、且有针对性得5分；内容完整、描述详尽、可实施得3分；方案基本完整得1分；未提供不得分。 对本项目设计方案技术可行性分析（5分） 内容完整、描述详尽、可实施、且有针对性得5分；内容完整、可实施得3分；方案基本完整得1分；未提供不得分。 对本项目设计工作内容概述（5分）。 内容完整、描述详尽、可实施、且有针对性得5分；内容完整、可实施得3分；方案基本完整得1分；未提供不得分。 现场勘察方案（5分） 内容完整、可实施、且有针对性得5分；内容完整、描述详尽、可实施得3分；方案基本完整得1分；未提供不得分。 技术规范规定符合性（5分） 内容完整、可实施、且有针对性得5分；内容完整、描述详尽、可实施得3分；方案基本完整得1分；未提供不得分。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设计方案.docx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重、难点分析及关键过程分析</w:t>
            </w:r>
          </w:p>
        </w:tc>
        <w:tc>
          <w:tcPr>
            <w:tcW w:type="dxa" w:w="2492"/>
          </w:tcPr>
          <w:p>
            <w:pPr>
              <w:pStyle w:val="null3"/>
            </w:pPr>
            <w:r>
              <w:rPr>
                <w:rFonts w:ascii="仿宋_GB2312" w:hAnsi="仿宋_GB2312" w:cs="仿宋_GB2312" w:eastAsia="仿宋_GB2312"/>
              </w:rPr>
              <w:t>项目实施重点、难点及对策措施（5分） 内容完整、可实施、且有针对性得5分；内容完整、可实施得3分；方案基本完整得1分；未提供不得分。 关键过程分析（5分） 内容完整、可实施、且有针对性得5分；内容完整、可实施得3分；方案基本完整得1分；未提供不得分。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重、难点分析及关键过程分析.docx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项目工作进度计划安排（5分） 内容完整、条理清晰、且有针对性得5分；内容完整、可实施得3分；内容基本完整1分；未提供不得分。 项目进度保证措施（5分） 内容完整、条理清晰、且有针对性得5分；内容完整、可实施得3分；内容基本完整1分；未提供不得分。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进度保证措施.docx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项目质量目标（5分） 内容完整、条理清晰、且有针对性得5分；内容完整、可实施得3分；内容基本完整1分；未提供不得分。 设计阶段控制措施（5分） 内容完整、条理清晰、且有针对性得5分；内容完整、可实施得3分；内容基本完整1分；未提供不得分。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针对本项目后期服务配合、过程资料管理有具体的服务承诺（5分） 内容完整、条理清晰、可实施得5分；内容完整、可实施得3分；内容基本完整1分；未提供不得分。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针对本项目的合理化建议（5分） 内容完整、条理清晰、可实施得5分；内容完整、可实施得3分；内容基本完整1分；未提供不得分。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合理化建议.docx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本项目的项目负责人、其他人员组织架构情况（5分） 人员专业性强、经验丰富、满足本项目需求得5分；专业性强、满足本项目需求得3分；满足本项目需求得1分；未提供不得分。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人员配备.docx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供应商提供2022年1月1日至磋商截止日止类似项目业绩，每提供一个得5分，最高得10分；业绩资料提供复印件加盖公章（资料以合同或中标通知书为准）。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类似项目业绩一览表.docx</w:t>
            </w:r>
          </w:p>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满足采购文件要求且报价最低的响应报价为评审基准价，其价格分为满分。其他供应商的价格分统一按照下列公式计算：报价得分=（评标基准价/响应报价）×价格分值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详见附件：保证金.pdf</w:t>
      </w:r>
    </w:p>
    <w:p>
      <w:pPr>
        <w:pStyle w:val="null3"/>
        <w:ind w:firstLine="960"/>
      </w:pPr>
      <w:r>
        <w:rPr>
          <w:rFonts w:ascii="仿宋_GB2312" w:hAnsi="仿宋_GB2312" w:cs="仿宋_GB2312" w:eastAsia="仿宋_GB2312"/>
        </w:rPr>
        <w:t>详见附件：法定代表人证明书或授权委托书.docx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详见附件：汉中市政府采购供应商资格承诺函.pdf</w:t>
      </w:r>
    </w:p>
    <w:p>
      <w:pPr>
        <w:pStyle w:val="null3"/>
        <w:ind w:firstLine="960"/>
      </w:pPr>
      <w:r>
        <w:rPr>
          <w:rFonts w:ascii="仿宋_GB2312" w:hAnsi="仿宋_GB2312" w:cs="仿宋_GB2312" w:eastAsia="仿宋_GB2312"/>
        </w:rPr>
        <w:t>详见附件：合理化建议.docx</w:t>
      </w:r>
    </w:p>
    <w:p>
      <w:pPr>
        <w:pStyle w:val="null3"/>
        <w:ind w:firstLine="960"/>
      </w:pPr>
      <w:r>
        <w:rPr>
          <w:rFonts w:ascii="仿宋_GB2312" w:hAnsi="仿宋_GB2312" w:cs="仿宋_GB2312" w:eastAsia="仿宋_GB2312"/>
        </w:rPr>
        <w:t>详见附件：进度保证措施.docx</w:t>
      </w:r>
    </w:p>
    <w:p>
      <w:pPr>
        <w:pStyle w:val="null3"/>
        <w:ind w:firstLine="960"/>
      </w:pPr>
      <w:r>
        <w:rPr>
          <w:rFonts w:ascii="仿宋_GB2312" w:hAnsi="仿宋_GB2312" w:cs="仿宋_GB2312" w:eastAsia="仿宋_GB2312"/>
        </w:rPr>
        <w:t>详见附件：控股承诺.docx</w:t>
      </w:r>
    </w:p>
    <w:p>
      <w:pPr>
        <w:pStyle w:val="null3"/>
        <w:ind w:firstLine="960"/>
      </w:pPr>
      <w:r>
        <w:rPr>
          <w:rFonts w:ascii="仿宋_GB2312" w:hAnsi="仿宋_GB2312" w:cs="仿宋_GB2312" w:eastAsia="仿宋_GB2312"/>
        </w:rPr>
        <w:t>详见附件：类似项目业绩一览表.docx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详见附件：设计方案.docx</w:t>
      </w:r>
    </w:p>
    <w:p>
      <w:pPr>
        <w:pStyle w:val="null3"/>
        <w:ind w:firstLine="960"/>
      </w:pPr>
      <w:r>
        <w:rPr>
          <w:rFonts w:ascii="仿宋_GB2312" w:hAnsi="仿宋_GB2312" w:cs="仿宋_GB2312" w:eastAsia="仿宋_GB2312"/>
        </w:rPr>
        <w:t>详见附件：项目理解.docx</w:t>
      </w:r>
    </w:p>
    <w:p>
      <w:pPr>
        <w:pStyle w:val="null3"/>
        <w:ind w:firstLine="960"/>
      </w:pPr>
      <w:r>
        <w:rPr>
          <w:rFonts w:ascii="仿宋_GB2312" w:hAnsi="仿宋_GB2312" w:cs="仿宋_GB2312" w:eastAsia="仿宋_GB2312"/>
        </w:rPr>
        <w:t>详见附件：质量保证措施.docx</w:t>
      </w:r>
    </w:p>
    <w:p>
      <w:pPr>
        <w:pStyle w:val="null3"/>
        <w:ind w:firstLine="960"/>
      </w:pPr>
      <w:r>
        <w:rPr>
          <w:rFonts w:ascii="仿宋_GB2312" w:hAnsi="仿宋_GB2312" w:cs="仿宋_GB2312" w:eastAsia="仿宋_GB2312"/>
        </w:rPr>
        <w:t>详见附件：重、难点分析及关键过程分析.docx</w:t>
      </w:r>
    </w:p>
    <w:p>
      <w:pPr>
        <w:pStyle w:val="null3"/>
        <w:ind w:firstLine="960"/>
      </w:pPr>
      <w:r>
        <w:rPr>
          <w:rFonts w:ascii="仿宋_GB2312" w:hAnsi="仿宋_GB2312" w:cs="仿宋_GB2312" w:eastAsia="仿宋_GB2312"/>
        </w:rPr>
        <w:t>详见附件：供应商认为需要说明的其他内容.docx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