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版本号：ZCMR--202603320260414002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略阳县五龙洞镇下坝村2025年度农作物秸秆综合利用项目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ZCMR--2026033</w:t>
      </w:r>
      <w:r>
        <w:br/>
      </w:r>
      <w:r>
        <w:br/>
      </w:r>
      <w:r>
        <w:br/>
      </w:r>
    </w:p>
    <w:p>
      <w:pPr>
        <w:pStyle w:val="null3"/>
        <w:jc w:val="center"/>
        <w:outlineLvl w:val="2"/>
      </w:pPr>
      <w:r>
        <w:rPr>
          <w:rFonts w:ascii="仿宋_GB2312" w:hAnsi="仿宋_GB2312" w:cs="仿宋_GB2312" w:eastAsia="仿宋_GB2312"/>
          <w:sz w:val="28"/>
          <w:b/>
        </w:rPr>
        <w:t>略阳县五龙洞镇人民政府</w:t>
      </w:r>
    </w:p>
    <w:p>
      <w:pPr>
        <w:pStyle w:val="null3"/>
        <w:jc w:val="center"/>
        <w:outlineLvl w:val="2"/>
      </w:pPr>
      <w:r>
        <w:rPr>
          <w:rFonts w:ascii="仿宋_GB2312" w:hAnsi="仿宋_GB2312" w:cs="仿宋_GB2312" w:eastAsia="仿宋_GB2312"/>
          <w:sz w:val="28"/>
          <w:b/>
        </w:rPr>
        <w:t>汉中明瑞项目管理有限公司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汉中明瑞项目管理有限公司</w:t>
      </w:r>
      <w:r>
        <w:rPr>
          <w:rFonts w:ascii="仿宋_GB2312" w:hAnsi="仿宋_GB2312" w:cs="仿宋_GB2312" w:eastAsia="仿宋_GB2312"/>
        </w:rPr>
        <w:t>（以下简称“代理机构”）受</w:t>
      </w:r>
      <w:r>
        <w:rPr>
          <w:rFonts w:ascii="仿宋_GB2312" w:hAnsi="仿宋_GB2312" w:cs="仿宋_GB2312" w:eastAsia="仿宋_GB2312"/>
        </w:rPr>
        <w:t>略阳县五龙洞镇人民政府</w:t>
      </w:r>
      <w:r>
        <w:rPr>
          <w:rFonts w:ascii="仿宋_GB2312" w:hAnsi="仿宋_GB2312" w:cs="仿宋_GB2312" w:eastAsia="仿宋_GB2312"/>
        </w:rPr>
        <w:t>委托，拟对</w:t>
      </w:r>
      <w:r>
        <w:rPr>
          <w:rFonts w:ascii="仿宋_GB2312" w:hAnsi="仿宋_GB2312" w:cs="仿宋_GB2312" w:eastAsia="仿宋_GB2312"/>
        </w:rPr>
        <w:t>略阳县五龙洞镇下坝村2025年度农作物秸秆综合利用项目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ZCMR--2026033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略阳县五龙洞镇下坝村2025年度农作物秸秆综合利用项目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1.农作物桔秆倒草揉丝及青贮饲料粉碎覆膜机1套，农作物转运机械2套，玉米联合收获机1台，中型稻油联合收割机1台；2.新建农作物秸秆加工车间340平方米，农作物秸秆储存室250平方米。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采购包1（农作物秸秆设备）：属于专门面向中小企业采购。</w:t>
      </w:r>
    </w:p>
    <w:p>
      <w:pPr>
        <w:pStyle w:val="null3"/>
      </w:pPr>
      <w:r>
        <w:rPr>
          <w:rFonts w:ascii="仿宋_GB2312" w:hAnsi="仿宋_GB2312" w:cs="仿宋_GB2312" w:eastAsia="仿宋_GB2312"/>
        </w:rPr>
        <w:t>采购包2（新建车间及储存室）：属于专门面向中小企业采购。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，供应商提供《汉中市政府采购供应商资格承诺函》；：提供《汉中市政府采购供应商资格承诺函》；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，供应商提供《汉中市政府采购供应商资格承诺函》；：提供《汉中市政府采购供应商资格承诺函》；</w:t>
      </w:r>
    </w:p>
    <w:p>
      <w:pPr>
        <w:pStyle w:val="null3"/>
      </w:pPr>
      <w:r>
        <w:rPr>
          <w:rFonts w:ascii="仿宋_GB2312" w:hAnsi="仿宋_GB2312" w:cs="仿宋_GB2312" w:eastAsia="仿宋_GB2312"/>
        </w:rPr>
        <w:t>4、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略阳县五龙洞镇人民政府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略阳县五龙洞镇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0916-4956011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汉中明瑞项目管理有限公司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17384866623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采购包1：560,500.00元</w:t>
            </w:r>
          </w:p>
          <w:p>
            <w:pPr>
              <w:pStyle w:val="null3"/>
            </w:pPr>
            <w:r>
              <w:rPr>
                <w:rFonts w:ascii="仿宋_GB2312" w:hAnsi="仿宋_GB2312" w:cs="仿宋_GB2312" w:eastAsia="仿宋_GB2312"/>
              </w:rPr>
              <w:t>采购包2：229,500.00元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开户名称：汉中明瑞项目管理有限公司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银行账号：61050165530000001084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说明：在签订合同前供应商应按签约合同价的3%缴纳履约保证金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说明：在签订合同前供应商应按签约合同价的3%缴纳履约保证金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代理服务费收费标准：参照《国家计委关于印发&lt;招标代理服务收费管理暂行办法&gt;的通知》（计价格[2002]1980号）、发改价格〔2011〕534号文及《 陕西省住房和城乡建设厅文件陕价行发【2014】88号》文收费标准向采购代理机构支付代理服务费。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略阳县五龙洞镇人民政府</w:t>
      </w:r>
      <w:r>
        <w:rPr>
          <w:rFonts w:ascii="仿宋_GB2312" w:hAnsi="仿宋_GB2312" w:cs="仿宋_GB2312" w:eastAsia="仿宋_GB2312"/>
        </w:rPr>
        <w:t>和</w:t>
      </w:r>
      <w:r>
        <w:rPr>
          <w:rFonts w:ascii="仿宋_GB2312" w:hAnsi="仿宋_GB2312" w:cs="仿宋_GB2312" w:eastAsia="仿宋_GB2312"/>
        </w:rPr>
        <w:t>汉中明瑞项目管理有限公司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略阳县五龙洞镇人民政府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汉中明瑞项目管理有限公司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略阳县五龙洞镇人民政府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汉中明瑞项目管理有限公司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质量达到国家行业合格标准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联系人：杨先生</w:t>
      </w:r>
    </w:p>
    <w:p>
      <w:pPr>
        <w:pStyle w:val="null3"/>
      </w:pPr>
      <w:r>
        <w:rPr>
          <w:rFonts w:ascii="仿宋_GB2312" w:hAnsi="仿宋_GB2312" w:cs="仿宋_GB2312" w:eastAsia="仿宋_GB2312"/>
        </w:rPr>
        <w:t>联系电话：17384866623</w:t>
      </w:r>
    </w:p>
    <w:p>
      <w:pPr>
        <w:pStyle w:val="null3"/>
      </w:pPr>
      <w:r>
        <w:rPr>
          <w:rFonts w:ascii="仿宋_GB2312" w:hAnsi="仿宋_GB2312" w:cs="仿宋_GB2312" w:eastAsia="仿宋_GB2312"/>
        </w:rPr>
        <w:t>地址：汉中市汉台区竹园天玺办公楼11楼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1.农作物桔秆倒草揉丝及青贮饲料粉碎覆膜机1套，农作物转运机械2套，玉米联合收获机1台，中型稻油联合收割机1台；2.新建农作物秸秆加工车间340平方米，农作物秸秆储存室250平方米。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560,500.00</w:t>
      </w:r>
    </w:p>
    <w:p>
      <w:pPr>
        <w:pStyle w:val="null3"/>
      </w:pPr>
      <w:r>
        <w:rPr>
          <w:rFonts w:ascii="仿宋_GB2312" w:hAnsi="仿宋_GB2312" w:cs="仿宋_GB2312" w:eastAsia="仿宋_GB2312"/>
        </w:rPr>
        <w:t>采购包最高限价（元）: 560,500.00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农作物秸秆设备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229,500.00</w:t>
      </w:r>
    </w:p>
    <w:p>
      <w:pPr>
        <w:pStyle w:val="null3"/>
      </w:pPr>
      <w:r>
        <w:rPr>
          <w:rFonts w:ascii="仿宋_GB2312" w:hAnsi="仿宋_GB2312" w:cs="仿宋_GB2312" w:eastAsia="仿宋_GB2312"/>
        </w:rPr>
        <w:t>采购包最高限价（元）: 229,500.00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新建车间及储存室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229,500.00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标的名称：农作物秸秆设备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60"/>
              <w:gridCol w:w="168"/>
              <w:gridCol w:w="1743"/>
              <w:gridCol w:w="174"/>
            </w:tblGrid>
            <w:tr>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产品名称</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规格要求</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农作物秸秆铡草揉丝机及青贮饲料粉碎覆膜机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农作物秸秆铡草揉丝机及青贮饲料粉碎覆膜机：</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圆捆机电机功率</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5.5KW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工作效率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捆</w:t>
                  </w:r>
                  <w:r>
                    <w:rPr>
                      <w:rFonts w:ascii="仿宋_GB2312" w:hAnsi="仿宋_GB2312" w:cs="仿宋_GB2312" w:eastAsia="仿宋_GB2312"/>
                      <w:sz w:val="21"/>
                    </w:rPr>
                    <w:t>/h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包膜层：</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配套揉丝机动力</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15KW</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输送动力</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1.5KW</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生产率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6T/h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结构型式</w:t>
                  </w:r>
                  <w:r>
                    <w:rPr>
                      <w:rFonts w:ascii="仿宋_GB2312" w:hAnsi="仿宋_GB2312" w:cs="仿宋_GB2312" w:eastAsia="仿宋_GB2312"/>
                      <w:sz w:val="21"/>
                    </w:rPr>
                    <w:t>:</w:t>
                  </w:r>
                  <w:r>
                    <w:rPr>
                      <w:rFonts w:ascii="仿宋_GB2312" w:hAnsi="仿宋_GB2312" w:cs="仿宋_GB2312" w:eastAsia="仿宋_GB2312"/>
                      <w:sz w:val="21"/>
                    </w:rPr>
                    <w:t>锤片式</w:t>
                  </w:r>
                </w:p>
                <w:p>
                  <w:pPr>
                    <w:pStyle w:val="null3"/>
                    <w:jc w:val="both"/>
                  </w:pPr>
                  <w:r>
                    <w:rPr>
                      <w:rFonts w:ascii="仿宋_GB2312" w:hAnsi="仿宋_GB2312" w:cs="仿宋_GB2312" w:eastAsia="仿宋_GB2312"/>
                      <w:sz w:val="21"/>
                    </w:rPr>
                    <w:t>喂入方式：链条</w:t>
                  </w:r>
                </w:p>
                <w:p>
                  <w:pPr>
                    <w:pStyle w:val="null3"/>
                    <w:jc w:val="both"/>
                  </w:pPr>
                  <w:r>
                    <w:rPr>
                      <w:rFonts w:ascii="仿宋_GB2312" w:hAnsi="仿宋_GB2312" w:cs="仿宋_GB2312" w:eastAsia="仿宋_GB2312"/>
                      <w:sz w:val="21"/>
                    </w:rPr>
                    <w:t>“★”提供产品检测报告</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农作物秸秆转运车</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套</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动力与排放</w:t>
                  </w:r>
                </w:p>
                <w:p>
                  <w:pPr>
                    <w:pStyle w:val="null3"/>
                    <w:jc w:val="both"/>
                  </w:pPr>
                  <w:r>
                    <w:rPr>
                      <w:rFonts w:ascii="仿宋_GB2312" w:hAnsi="仿宋_GB2312" w:cs="仿宋_GB2312" w:eastAsia="仿宋_GB2312"/>
                      <w:sz w:val="21"/>
                    </w:rPr>
                    <w:t>发动机功率：</w:t>
                  </w:r>
                  <w:r>
                    <w:rPr>
                      <w:rFonts w:ascii="仿宋_GB2312" w:hAnsi="仿宋_GB2312" w:cs="仿宋_GB2312" w:eastAsia="仿宋_GB2312"/>
                      <w:sz w:val="21"/>
                    </w:rPr>
                    <w:t>≥</w:t>
                  </w:r>
                  <w:r>
                    <w:rPr>
                      <w:rFonts w:ascii="仿宋_GB2312" w:hAnsi="仿宋_GB2312" w:cs="仿宋_GB2312" w:eastAsia="仿宋_GB2312"/>
                      <w:sz w:val="21"/>
                    </w:rPr>
                    <w:t>18kW</w:t>
                  </w:r>
                </w:p>
                <w:p>
                  <w:pPr>
                    <w:pStyle w:val="null3"/>
                    <w:jc w:val="both"/>
                  </w:pPr>
                  <w:r>
                    <w:rPr>
                      <w:rFonts w:ascii="仿宋_GB2312" w:hAnsi="仿宋_GB2312" w:cs="仿宋_GB2312" w:eastAsia="仿宋_GB2312"/>
                      <w:sz w:val="21"/>
                    </w:rPr>
                    <w:t>排放标准：国四非道路排放标准</w:t>
                  </w:r>
                </w:p>
                <w:p>
                  <w:pPr>
                    <w:pStyle w:val="null3"/>
                    <w:jc w:val="both"/>
                  </w:pPr>
                  <w:r>
                    <w:rPr>
                      <w:rFonts w:ascii="仿宋_GB2312" w:hAnsi="仿宋_GB2312" w:cs="仿宋_GB2312" w:eastAsia="仿宋_GB2312"/>
                      <w:sz w:val="21"/>
                    </w:rPr>
                    <w:t>燃料：柴油</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车厢与装载</w:t>
                  </w:r>
                </w:p>
                <w:p>
                  <w:pPr>
                    <w:pStyle w:val="null3"/>
                    <w:jc w:val="both"/>
                  </w:pPr>
                  <w:r>
                    <w:rPr>
                      <w:rFonts w:ascii="仿宋_GB2312" w:hAnsi="仿宋_GB2312" w:cs="仿宋_GB2312" w:eastAsia="仿宋_GB2312"/>
                      <w:sz w:val="21"/>
                    </w:rPr>
                    <w:t>车厢尺寸：</w:t>
                  </w:r>
                  <w:r>
                    <w:rPr>
                      <w:rFonts w:ascii="仿宋_GB2312" w:hAnsi="仿宋_GB2312" w:cs="仿宋_GB2312" w:eastAsia="仿宋_GB2312"/>
                      <w:sz w:val="21"/>
                    </w:rPr>
                    <w:t xml:space="preserve">2500mm </w:t>
                  </w:r>
                  <w:r>
                    <w:rPr>
                      <w:rFonts w:ascii="仿宋_GB2312" w:hAnsi="仿宋_GB2312" w:cs="仿宋_GB2312" w:eastAsia="仿宋_GB2312"/>
                      <w:sz w:val="21"/>
                    </w:rPr>
                    <w:t xml:space="preserve">× </w:t>
                  </w:r>
                  <w:r>
                    <w:rPr>
                      <w:rFonts w:ascii="仿宋_GB2312" w:hAnsi="仿宋_GB2312" w:cs="仿宋_GB2312" w:eastAsia="仿宋_GB2312"/>
                      <w:sz w:val="21"/>
                    </w:rPr>
                    <w:t xml:space="preserve">1200mm </w:t>
                  </w:r>
                  <w:r>
                    <w:rPr>
                      <w:rFonts w:ascii="仿宋_GB2312" w:hAnsi="仿宋_GB2312" w:cs="仿宋_GB2312" w:eastAsia="仿宋_GB2312"/>
                      <w:sz w:val="21"/>
                    </w:rPr>
                    <w:t xml:space="preserve">× </w:t>
                  </w:r>
                  <w:r>
                    <w:rPr>
                      <w:rFonts w:ascii="仿宋_GB2312" w:hAnsi="仿宋_GB2312" w:cs="仿宋_GB2312" w:eastAsia="仿宋_GB2312"/>
                      <w:sz w:val="21"/>
                    </w:rPr>
                    <w:t>100mm</w:t>
                  </w:r>
                  <w:r>
                    <w:rPr>
                      <w:rFonts w:ascii="仿宋_GB2312" w:hAnsi="仿宋_GB2312" w:cs="仿宋_GB2312" w:eastAsia="仿宋_GB2312"/>
                      <w:sz w:val="21"/>
                    </w:rPr>
                    <w:t>（长 × 宽 × 高）</w:t>
                  </w:r>
                  <w:r>
                    <w:rPr>
                      <w:rFonts w:ascii="仿宋_GB2312" w:hAnsi="仿宋_GB2312" w:cs="仿宋_GB2312" w:eastAsia="仿宋_GB2312"/>
                      <w:sz w:val="21"/>
                    </w:rPr>
                    <w:t>（误差</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车厢结构：加大加高、带加强筋、耐磨钢板</w:t>
                  </w:r>
                </w:p>
                <w:p>
                  <w:pPr>
                    <w:pStyle w:val="null3"/>
                    <w:jc w:val="both"/>
                  </w:pPr>
                  <w:r>
                    <w:rPr>
                      <w:rFonts w:ascii="仿宋_GB2312" w:hAnsi="仿宋_GB2312" w:cs="仿宋_GB2312" w:eastAsia="仿宋_GB2312"/>
                      <w:sz w:val="21"/>
                    </w:rPr>
                    <w:t>驱动</w:t>
                  </w:r>
                  <w:r>
                    <w:rPr>
                      <w:rFonts w:ascii="仿宋_GB2312" w:hAnsi="仿宋_GB2312" w:cs="仿宋_GB2312" w:eastAsia="仿宋_GB2312"/>
                      <w:sz w:val="21"/>
                    </w:rPr>
                    <w:t xml:space="preserve">/ </w:t>
                  </w:r>
                  <w:r>
                    <w:rPr>
                      <w:rFonts w:ascii="仿宋_GB2312" w:hAnsi="仿宋_GB2312" w:cs="仿宋_GB2312" w:eastAsia="仿宋_GB2312"/>
                      <w:sz w:val="21"/>
                    </w:rPr>
                    <w:t xml:space="preserve">卸料：后车厢带液压驱动、可自卸（后卸 </w:t>
                  </w:r>
                  <w:r>
                    <w:rPr>
                      <w:rFonts w:ascii="仿宋_GB2312" w:hAnsi="仿宋_GB2312" w:cs="仿宋_GB2312" w:eastAsia="仿宋_GB2312"/>
                      <w:sz w:val="21"/>
                    </w:rPr>
                    <w:t xml:space="preserve">/ </w:t>
                  </w:r>
                  <w:r>
                    <w:rPr>
                      <w:rFonts w:ascii="仿宋_GB2312" w:hAnsi="仿宋_GB2312" w:cs="仿宋_GB2312" w:eastAsia="仿宋_GB2312"/>
                      <w:sz w:val="21"/>
                    </w:rPr>
                    <w:t>侧卸）</w:t>
                  </w:r>
                </w:p>
                <w:p>
                  <w:pPr>
                    <w:pStyle w:val="null3"/>
                    <w:jc w:val="both"/>
                  </w:pPr>
                  <w:r>
                    <w:rPr>
                      <w:rFonts w:ascii="仿宋_GB2312" w:hAnsi="仿宋_GB2312" w:cs="仿宋_GB2312" w:eastAsia="仿宋_GB2312"/>
                      <w:sz w:val="21"/>
                    </w:rPr>
                    <w:t>装载容积：约</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m</w:t>
                  </w:r>
                  <w:r>
                    <w:rPr>
                      <w:rFonts w:ascii="仿宋_GB2312" w:hAnsi="仿宋_GB2312" w:cs="仿宋_GB2312" w:eastAsia="仿宋_GB2312"/>
                      <w:sz w:val="21"/>
                    </w:rPr>
                    <w:t>³，适合秸秆、牧草、散料</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底盘与结构</w:t>
                  </w:r>
                </w:p>
                <w:p>
                  <w:pPr>
                    <w:pStyle w:val="null3"/>
                    <w:jc w:val="both"/>
                  </w:pPr>
                  <w:r>
                    <w:rPr>
                      <w:rFonts w:ascii="仿宋_GB2312" w:hAnsi="仿宋_GB2312" w:cs="仿宋_GB2312" w:eastAsia="仿宋_GB2312"/>
                      <w:sz w:val="21"/>
                    </w:rPr>
                    <w:t>驱动形式：后轮驱动</w:t>
                  </w:r>
                </w:p>
                <w:p>
                  <w:pPr>
                    <w:pStyle w:val="null3"/>
                    <w:jc w:val="both"/>
                  </w:pPr>
                  <w:r>
                    <w:rPr>
                      <w:rFonts w:ascii="仿宋_GB2312" w:hAnsi="仿宋_GB2312" w:cs="仿宋_GB2312" w:eastAsia="仿宋_GB2312"/>
                      <w:sz w:val="21"/>
                    </w:rPr>
                    <w:t>车架：加强型大梁</w:t>
                  </w:r>
                  <w:r>
                    <w:rPr>
                      <w:rFonts w:ascii="仿宋_GB2312" w:hAnsi="仿宋_GB2312" w:cs="仿宋_GB2312" w:eastAsia="仿宋_GB2312"/>
                      <w:sz w:val="21"/>
                    </w:rPr>
                    <w:t xml:space="preserve">/ </w:t>
                  </w:r>
                  <w:r>
                    <w:rPr>
                      <w:rFonts w:ascii="仿宋_GB2312" w:hAnsi="仿宋_GB2312" w:cs="仿宋_GB2312" w:eastAsia="仿宋_GB2312"/>
                      <w:sz w:val="21"/>
                    </w:rPr>
                    <w:t xml:space="preserve">槽钢 </w:t>
                  </w:r>
                  <w:r>
                    <w:rPr>
                      <w:rFonts w:ascii="仿宋_GB2312" w:hAnsi="仿宋_GB2312" w:cs="仿宋_GB2312" w:eastAsia="仿宋_GB2312"/>
                      <w:sz w:val="21"/>
                    </w:rPr>
                    <w:t xml:space="preserve">/ </w:t>
                  </w:r>
                  <w:r>
                    <w:rPr>
                      <w:rFonts w:ascii="仿宋_GB2312" w:hAnsi="仿宋_GB2312" w:cs="仿宋_GB2312" w:eastAsia="仿宋_GB2312"/>
                      <w:sz w:val="21"/>
                    </w:rPr>
                    <w:t>矩形管</w:t>
                  </w:r>
                </w:p>
                <w:p>
                  <w:pPr>
                    <w:pStyle w:val="null3"/>
                    <w:jc w:val="both"/>
                  </w:pPr>
                  <w:r>
                    <w:rPr>
                      <w:rFonts w:ascii="仿宋_GB2312" w:hAnsi="仿宋_GB2312" w:cs="仿宋_GB2312" w:eastAsia="仿宋_GB2312"/>
                      <w:sz w:val="21"/>
                    </w:rPr>
                    <w:t>悬挂：钢板弹簧</w:t>
                  </w:r>
                </w:p>
                <w:p>
                  <w:pPr>
                    <w:pStyle w:val="null3"/>
                    <w:jc w:val="both"/>
                  </w:pPr>
                  <w:r>
                    <w:rPr>
                      <w:rFonts w:ascii="仿宋_GB2312" w:hAnsi="仿宋_GB2312" w:cs="仿宋_GB2312" w:eastAsia="仿宋_GB2312"/>
                      <w:sz w:val="21"/>
                    </w:rPr>
                    <w:t>轮胎：农用花纹胎</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性能与安全</w:t>
                  </w:r>
                </w:p>
                <w:p>
                  <w:pPr>
                    <w:pStyle w:val="null3"/>
                    <w:jc w:val="both"/>
                  </w:pPr>
                  <w:r>
                    <w:rPr>
                      <w:rFonts w:ascii="仿宋_GB2312" w:hAnsi="仿宋_GB2312" w:cs="仿宋_GB2312" w:eastAsia="仿宋_GB2312"/>
                      <w:sz w:val="21"/>
                    </w:rPr>
                    <w:t>制动：液压制动</w:t>
                  </w:r>
                  <w:r>
                    <w:rPr>
                      <w:rFonts w:ascii="仿宋_GB2312" w:hAnsi="仿宋_GB2312" w:cs="仿宋_GB2312" w:eastAsia="仿宋_GB2312"/>
                      <w:sz w:val="21"/>
                    </w:rPr>
                    <w:t xml:space="preserve">+ </w:t>
                  </w:r>
                  <w:r>
                    <w:rPr>
                      <w:rFonts w:ascii="仿宋_GB2312" w:hAnsi="仿宋_GB2312" w:cs="仿宋_GB2312" w:eastAsia="仿宋_GB2312"/>
                      <w:sz w:val="21"/>
                    </w:rPr>
                    <w:t>驻车手刹</w:t>
                  </w:r>
                </w:p>
                <w:p>
                  <w:pPr>
                    <w:pStyle w:val="null3"/>
                    <w:jc w:val="both"/>
                  </w:pPr>
                  <w:r>
                    <w:rPr>
                      <w:rFonts w:ascii="仿宋_GB2312" w:hAnsi="仿宋_GB2312" w:cs="仿宋_GB2312" w:eastAsia="仿宋_GB2312"/>
                      <w:sz w:val="21"/>
                    </w:rPr>
                    <w:t>转向：机械转向</w:t>
                  </w:r>
                  <w:r>
                    <w:rPr>
                      <w:rFonts w:ascii="仿宋_GB2312" w:hAnsi="仿宋_GB2312" w:cs="仿宋_GB2312" w:eastAsia="仿宋_GB2312"/>
                      <w:sz w:val="21"/>
                    </w:rPr>
                    <w:t>，具有</w:t>
                  </w:r>
                  <w:r>
                    <w:rPr>
                      <w:rFonts w:ascii="仿宋_GB2312" w:hAnsi="仿宋_GB2312" w:cs="仿宋_GB2312" w:eastAsia="仿宋_GB2312"/>
                      <w:sz w:val="21"/>
                    </w:rPr>
                    <w:t>助力</w:t>
                  </w:r>
                  <w:r>
                    <w:rPr>
                      <w:rFonts w:ascii="仿宋_GB2312" w:hAnsi="仿宋_GB2312" w:cs="仿宋_GB2312" w:eastAsia="仿宋_GB2312"/>
                      <w:sz w:val="21"/>
                    </w:rPr>
                    <w:t>功能</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玉米联合收获机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台</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配套柴油发动机，额定功率</w:t>
                  </w:r>
                  <w:r>
                    <w:rPr>
                      <w:rFonts w:ascii="仿宋_GB2312" w:hAnsi="仿宋_GB2312" w:cs="仿宋_GB2312" w:eastAsia="仿宋_GB2312"/>
                      <w:sz w:val="21"/>
                    </w:rPr>
                    <w:t>≥</w:t>
                  </w:r>
                  <w:r>
                    <w:rPr>
                      <w:rFonts w:ascii="仿宋_GB2312" w:hAnsi="仿宋_GB2312" w:cs="仿宋_GB2312" w:eastAsia="仿宋_GB2312"/>
                      <w:sz w:val="21"/>
                    </w:rPr>
                    <w:t>73kW</w:t>
                  </w:r>
                  <w:r>
                    <w:rPr>
                      <w:rFonts w:ascii="仿宋_GB2312" w:hAnsi="仿宋_GB2312" w:cs="仿宋_GB2312" w:eastAsia="仿宋_GB2312"/>
                      <w:sz w:val="21"/>
                    </w:rPr>
                    <w:t>；满足国四非道路排放标准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工作效率</w:t>
                  </w:r>
                  <w:r>
                    <w:rPr>
                      <w:rFonts w:ascii="仿宋_GB2312" w:hAnsi="仿宋_GB2312" w:cs="仿宋_GB2312" w:eastAsia="仿宋_GB2312"/>
                      <w:sz w:val="21"/>
                    </w:rPr>
                    <w:t>≥</w:t>
                  </w:r>
                  <w:r>
                    <w:rPr>
                      <w:rFonts w:ascii="仿宋_GB2312" w:hAnsi="仿宋_GB2312" w:cs="仿宋_GB2312" w:eastAsia="仿宋_GB2312"/>
                      <w:sz w:val="21"/>
                    </w:rPr>
                    <w:t xml:space="preserve">3 </w:t>
                  </w:r>
                  <w:r>
                    <w:rPr>
                      <w:rFonts w:ascii="仿宋_GB2312" w:hAnsi="仿宋_GB2312" w:cs="仿宋_GB2312" w:eastAsia="仿宋_GB2312"/>
                      <w:sz w:val="21"/>
                    </w:rPr>
                    <w:t xml:space="preserve">亩 </w:t>
                  </w:r>
                  <w:r>
                    <w:rPr>
                      <w:rFonts w:ascii="仿宋_GB2312" w:hAnsi="仿宋_GB2312" w:cs="仿宋_GB2312" w:eastAsia="仿宋_GB2312"/>
                      <w:sz w:val="21"/>
                    </w:rPr>
                    <w:t xml:space="preserve">/ </w:t>
                  </w:r>
                  <w:r>
                    <w:rPr>
                      <w:rFonts w:ascii="仿宋_GB2312" w:hAnsi="仿宋_GB2312" w:cs="仿宋_GB2312" w:eastAsia="仿宋_GB2312"/>
                      <w:sz w:val="21"/>
                    </w:rPr>
                    <w:t>小时；作业速度</w:t>
                  </w:r>
                  <w:r>
                    <w:rPr>
                      <w:rFonts w:ascii="仿宋_GB2312" w:hAnsi="仿宋_GB2312" w:cs="仿宋_GB2312" w:eastAsia="仿宋_GB2312"/>
                      <w:sz w:val="21"/>
                    </w:rPr>
                    <w:t>2.0-5.0km/h</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单位面积燃油消耗量</w:t>
                  </w:r>
                  <w:r>
                    <w:rPr>
                      <w:rFonts w:ascii="仿宋_GB2312" w:hAnsi="仿宋_GB2312" w:cs="仿宋_GB2312" w:eastAsia="仿宋_GB2312"/>
                      <w:sz w:val="21"/>
                    </w:rPr>
                    <w:t>≤</w:t>
                  </w:r>
                  <w:r>
                    <w:rPr>
                      <w:rFonts w:ascii="仿宋_GB2312" w:hAnsi="仿宋_GB2312" w:cs="仿宋_GB2312" w:eastAsia="仿宋_GB2312"/>
                      <w:sz w:val="21"/>
                    </w:rPr>
                    <w:t xml:space="preserve">6 </w:t>
                  </w:r>
                  <w:r>
                    <w:rPr>
                      <w:rFonts w:ascii="仿宋_GB2312" w:hAnsi="仿宋_GB2312" w:cs="仿宋_GB2312" w:eastAsia="仿宋_GB2312"/>
                      <w:sz w:val="21"/>
                    </w:rPr>
                    <w:t xml:space="preserve">升 </w:t>
                  </w:r>
                  <w:r>
                    <w:rPr>
                      <w:rFonts w:ascii="仿宋_GB2312" w:hAnsi="仿宋_GB2312" w:cs="仿宋_GB2312" w:eastAsia="仿宋_GB2312"/>
                      <w:sz w:val="21"/>
                    </w:rPr>
                    <w:t xml:space="preserve">/ </w:t>
                  </w:r>
                  <w:r>
                    <w:rPr>
                      <w:rFonts w:ascii="仿宋_GB2312" w:hAnsi="仿宋_GB2312" w:cs="仿宋_GB2312" w:eastAsia="仿宋_GB2312"/>
                      <w:sz w:val="21"/>
                    </w:rPr>
                    <w:t>小时；符合</w:t>
                  </w:r>
                  <w:r>
                    <w:rPr>
                      <w:rFonts w:ascii="仿宋_GB2312" w:hAnsi="仿宋_GB2312" w:cs="仿宋_GB2312" w:eastAsia="仿宋_GB2312"/>
                      <w:sz w:val="21"/>
                    </w:rPr>
                    <w:t>GB/T 21962-2020</w:t>
                  </w:r>
                  <w:r>
                    <w:rPr>
                      <w:rFonts w:ascii="仿宋_GB2312" w:hAnsi="仿宋_GB2312" w:cs="仿宋_GB2312" w:eastAsia="仿宋_GB2312"/>
                      <w:sz w:val="21"/>
                    </w:rPr>
                    <w:t>玉米收获机械能耗标准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整机尺寸</w:t>
                  </w:r>
                  <w:r>
                    <w:rPr>
                      <w:rFonts w:ascii="仿宋_GB2312" w:hAnsi="仿宋_GB2312" w:cs="仿宋_GB2312" w:eastAsia="仿宋_GB2312"/>
                      <w:sz w:val="21"/>
                    </w:rPr>
                    <w:t>5350</w:t>
                  </w:r>
                  <w:r>
                    <w:rPr>
                      <w:rFonts w:ascii="仿宋_GB2312" w:hAnsi="仿宋_GB2312" w:cs="仿宋_GB2312" w:eastAsia="仿宋_GB2312"/>
                      <w:sz w:val="21"/>
                    </w:rPr>
                    <w:t>×</w:t>
                  </w:r>
                  <w:r>
                    <w:rPr>
                      <w:rFonts w:ascii="仿宋_GB2312" w:hAnsi="仿宋_GB2312" w:cs="仿宋_GB2312" w:eastAsia="仿宋_GB2312"/>
                      <w:sz w:val="21"/>
                    </w:rPr>
                    <w:t>1720</w:t>
                  </w:r>
                  <w:r>
                    <w:rPr>
                      <w:rFonts w:ascii="仿宋_GB2312" w:hAnsi="仿宋_GB2312" w:cs="仿宋_GB2312" w:eastAsia="仿宋_GB2312"/>
                      <w:sz w:val="21"/>
                    </w:rPr>
                    <w:t>×</w:t>
                  </w:r>
                  <w:r>
                    <w:rPr>
                      <w:rFonts w:ascii="仿宋_GB2312" w:hAnsi="仿宋_GB2312" w:cs="仿宋_GB2312" w:eastAsia="仿宋_GB2312"/>
                      <w:sz w:val="21"/>
                    </w:rPr>
                    <w:t>2680mm</w:t>
                  </w:r>
                  <w:r>
                    <w:rPr>
                      <w:rFonts w:ascii="仿宋_GB2312" w:hAnsi="仿宋_GB2312" w:cs="仿宋_GB2312" w:eastAsia="仿宋_GB2312"/>
                      <w:sz w:val="21"/>
                    </w:rPr>
                    <w:t>（误差 ±</w:t>
                  </w:r>
                  <w:r>
                    <w:rPr>
                      <w:rFonts w:ascii="仿宋_GB2312" w:hAnsi="仿宋_GB2312" w:cs="仿宋_GB2312" w:eastAsia="仿宋_GB2312"/>
                      <w:sz w:val="21"/>
                    </w:rPr>
                    <w:t>50mm</w:t>
                  </w:r>
                  <w:r>
                    <w:rPr>
                      <w:rFonts w:ascii="仿宋_GB2312" w:hAnsi="仿宋_GB2312" w:cs="仿宋_GB2312" w:eastAsia="仿宋_GB2312"/>
                      <w:sz w:val="21"/>
                    </w:rPr>
                    <w:t>），适配标准道路运输与田间作业</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集成摘穗、剥皮、秸秆粉碎还田一体化功能；配备果穗升运器</w:t>
                  </w:r>
                  <w:r>
                    <w:rPr>
                      <w:rFonts w:ascii="仿宋_GB2312" w:hAnsi="仿宋_GB2312" w:cs="仿宋_GB2312" w:eastAsia="仿宋_GB2312"/>
                      <w:sz w:val="21"/>
                    </w:rPr>
                    <w:t xml:space="preserve">+ </w:t>
                  </w:r>
                  <w:r>
                    <w:rPr>
                      <w:rFonts w:ascii="仿宋_GB2312" w:hAnsi="仿宋_GB2312" w:cs="仿宋_GB2312" w:eastAsia="仿宋_GB2312"/>
                      <w:sz w:val="21"/>
                    </w:rPr>
                    <w:t>果穗箱，可实现液压卸粮</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割台行距适配</w:t>
                  </w:r>
                  <w:r>
                    <w:rPr>
                      <w:rFonts w:ascii="仿宋_GB2312" w:hAnsi="仿宋_GB2312" w:cs="仿宋_GB2312" w:eastAsia="仿宋_GB2312"/>
                      <w:sz w:val="21"/>
                    </w:rPr>
                    <w:t>550-650mm</w:t>
                  </w:r>
                  <w:r>
                    <w:rPr>
                      <w:rFonts w:ascii="仿宋_GB2312" w:hAnsi="仿宋_GB2312" w:cs="仿宋_GB2312" w:eastAsia="仿宋_GB2312"/>
                      <w:sz w:val="21"/>
                    </w:rPr>
                    <w:t xml:space="preserve">；剥皮辊采用橡胶 </w:t>
                  </w:r>
                  <w:r>
                    <w:rPr>
                      <w:rFonts w:ascii="仿宋_GB2312" w:hAnsi="仿宋_GB2312" w:cs="仿宋_GB2312" w:eastAsia="仿宋_GB2312"/>
                      <w:sz w:val="21"/>
                    </w:rPr>
                    <w:t xml:space="preserve">+ </w:t>
                  </w:r>
                  <w:r>
                    <w:rPr>
                      <w:rFonts w:ascii="仿宋_GB2312" w:hAnsi="仿宋_GB2312" w:cs="仿宋_GB2312" w:eastAsia="仿宋_GB2312"/>
                      <w:sz w:val="21"/>
                    </w:rPr>
                    <w:t>金属组合，剥皮率≥</w:t>
                  </w:r>
                  <w:r>
                    <w:rPr>
                      <w:rFonts w:ascii="仿宋_GB2312" w:hAnsi="仿宋_GB2312" w:cs="仿宋_GB2312" w:eastAsia="仿宋_GB2312"/>
                      <w:sz w:val="21"/>
                    </w:rPr>
                    <w:t>90%</w:t>
                  </w:r>
                  <w:r>
                    <w:rPr>
                      <w:rFonts w:ascii="仿宋_GB2312" w:hAnsi="仿宋_GB2312" w:cs="仿宋_GB2312" w:eastAsia="仿宋_GB2312"/>
                      <w:sz w:val="21"/>
                    </w:rPr>
                    <w:t>；秸秆还田机幅宽≥</w:t>
                  </w:r>
                  <w:r>
                    <w:rPr>
                      <w:rFonts w:ascii="仿宋_GB2312" w:hAnsi="仿宋_GB2312" w:cs="仿宋_GB2312" w:eastAsia="仿宋_GB2312"/>
                      <w:sz w:val="21"/>
                    </w:rPr>
                    <w:t>1800mm</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采用自走轮式底盘；配备液压转向与静液压行走</w:t>
                  </w:r>
                  <w:r>
                    <w:rPr>
                      <w:rFonts w:ascii="仿宋_GB2312" w:hAnsi="仿宋_GB2312" w:cs="仿宋_GB2312" w:eastAsia="仿宋_GB2312"/>
                      <w:sz w:val="21"/>
                    </w:rPr>
                    <w:t xml:space="preserve">/ </w:t>
                  </w:r>
                  <w:r>
                    <w:rPr>
                      <w:rFonts w:ascii="仿宋_GB2312" w:hAnsi="仿宋_GB2312" w:cs="仿宋_GB2312" w:eastAsia="仿宋_GB2312"/>
                      <w:sz w:val="21"/>
                    </w:rPr>
                    <w:t>机械变速；驱动轮胎</w:t>
                  </w:r>
                  <w:r>
                    <w:rPr>
                      <w:rFonts w:ascii="仿宋_GB2312" w:hAnsi="仿宋_GB2312" w:cs="仿宋_GB2312" w:eastAsia="仿宋_GB2312"/>
                      <w:sz w:val="21"/>
                    </w:rPr>
                    <w:t>15-24</w:t>
                  </w:r>
                  <w:r>
                    <w:rPr>
                      <w:rFonts w:ascii="仿宋_GB2312" w:hAnsi="仿宋_GB2312" w:cs="仿宋_GB2312" w:eastAsia="仿宋_GB2312"/>
                      <w:sz w:val="21"/>
                    </w:rPr>
                    <w:t>，转向轮胎</w:t>
                  </w:r>
                  <w:r>
                    <w:rPr>
                      <w:rFonts w:ascii="仿宋_GB2312" w:hAnsi="仿宋_GB2312" w:cs="仿宋_GB2312" w:eastAsia="仿宋_GB2312"/>
                      <w:sz w:val="21"/>
                    </w:rPr>
                    <w:t>10-15/15-24</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整机质量</w:t>
                  </w:r>
                  <w:r>
                    <w:rPr>
                      <w:rFonts w:ascii="仿宋_GB2312" w:hAnsi="仿宋_GB2312" w:cs="仿宋_GB2312" w:eastAsia="仿宋_GB2312"/>
                      <w:sz w:val="21"/>
                    </w:rPr>
                    <w:t xml:space="preserve">5.0-6.5 </w:t>
                  </w:r>
                  <w:r>
                    <w:rPr>
                      <w:rFonts w:ascii="仿宋_GB2312" w:hAnsi="仿宋_GB2312" w:cs="仿宋_GB2312" w:eastAsia="仿宋_GB2312"/>
                      <w:sz w:val="21"/>
                    </w:rPr>
                    <w:t>吨；最小离地间隙 ≥</w:t>
                  </w:r>
                  <w:r>
                    <w:rPr>
                      <w:rFonts w:ascii="仿宋_GB2312" w:hAnsi="仿宋_GB2312" w:cs="仿宋_GB2312" w:eastAsia="仿宋_GB2312"/>
                      <w:sz w:val="21"/>
                    </w:rPr>
                    <w:t>280mm</w:t>
                  </w:r>
                  <w:r>
                    <w:rPr>
                      <w:rFonts w:ascii="仿宋_GB2312" w:hAnsi="仿宋_GB2312" w:cs="仿宋_GB2312" w:eastAsia="仿宋_GB2312"/>
                      <w:sz w:val="21"/>
                    </w:rPr>
                    <w:t>，适应复杂地块</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中型稻油联合收割机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台</w:t>
                  </w:r>
                </w:p>
              </w:tc>
              <w:tc>
                <w:tcPr>
                  <w:tcW w:type="dxa" w:w="1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配套国四非道路柴油发动机，额定功率≥</w:t>
                  </w:r>
                  <w:r>
                    <w:rPr>
                      <w:rFonts w:ascii="仿宋_GB2312" w:hAnsi="仿宋_GB2312" w:cs="仿宋_GB2312" w:eastAsia="仿宋_GB2312"/>
                      <w:sz w:val="21"/>
                    </w:rPr>
                    <w:t>92kW</w:t>
                  </w:r>
                  <w:r>
                    <w:rPr>
                      <w:rFonts w:ascii="仿宋_GB2312" w:hAnsi="仿宋_GB2312" w:cs="仿宋_GB2312" w:eastAsia="仿宋_GB2312"/>
                      <w:sz w:val="21"/>
                    </w:rPr>
                    <w:t>；满足国四排放要求，配备</w:t>
                  </w:r>
                  <w:r>
                    <w:rPr>
                      <w:rFonts w:ascii="仿宋_GB2312" w:hAnsi="仿宋_GB2312" w:cs="仿宋_GB2312" w:eastAsia="仿宋_GB2312"/>
                      <w:sz w:val="21"/>
                    </w:rPr>
                    <w:t>DPF</w:t>
                  </w:r>
                  <w:r>
                    <w:rPr>
                      <w:rFonts w:ascii="仿宋_GB2312" w:hAnsi="仿宋_GB2312" w:cs="仿宋_GB2312" w:eastAsia="仿宋_GB2312"/>
                      <w:sz w:val="21"/>
                    </w:rPr>
                    <w:t>等后处理系统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喂入量≥</w:t>
                  </w:r>
                  <w:r>
                    <w:rPr>
                      <w:rFonts w:ascii="仿宋_GB2312" w:hAnsi="仿宋_GB2312" w:cs="仿宋_GB2312" w:eastAsia="仿宋_GB2312"/>
                      <w:sz w:val="21"/>
                    </w:rPr>
                    <w:t>6kg/s</w:t>
                  </w:r>
                  <w:r>
                    <w:rPr>
                      <w:rFonts w:ascii="仿宋_GB2312" w:hAnsi="仿宋_GB2312" w:cs="仿宋_GB2312" w:eastAsia="仿宋_GB2312"/>
                      <w:sz w:val="21"/>
                    </w:rPr>
                    <w:t>；割幅</w:t>
                  </w: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3.2m</w:t>
                  </w:r>
                  <w:r>
                    <w:rPr>
                      <w:rFonts w:ascii="仿宋_GB2312" w:hAnsi="仿宋_GB2312" w:cs="仿宋_GB2312" w:eastAsia="仿宋_GB2312"/>
                      <w:sz w:val="21"/>
                    </w:rPr>
                    <w:t>，适配中型地块；作业效率</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 xml:space="preserve">8 </w:t>
                  </w:r>
                  <w:r>
                    <w:rPr>
                      <w:rFonts w:ascii="仿宋_GB2312" w:hAnsi="仿宋_GB2312" w:cs="仿宋_GB2312" w:eastAsia="仿宋_GB2312"/>
                      <w:sz w:val="21"/>
                    </w:rPr>
                    <w:t xml:space="preserve">亩 </w:t>
                  </w:r>
                  <w:r>
                    <w:rPr>
                      <w:rFonts w:ascii="仿宋_GB2312" w:hAnsi="仿宋_GB2312" w:cs="仿宋_GB2312" w:eastAsia="仿宋_GB2312"/>
                      <w:sz w:val="21"/>
                    </w:rPr>
                    <w:t xml:space="preserve">/ </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自走履带式全喂入底盘；最小离地间隙≥</w:t>
                  </w:r>
                  <w:r>
                    <w:rPr>
                      <w:rFonts w:ascii="仿宋_GB2312" w:hAnsi="仿宋_GB2312" w:cs="仿宋_GB2312" w:eastAsia="仿宋_GB2312"/>
                      <w:sz w:val="21"/>
                    </w:rPr>
                    <w:t>300mm</w:t>
                  </w:r>
                  <w:r>
                    <w:rPr>
                      <w:rFonts w:ascii="仿宋_GB2312" w:hAnsi="仿宋_GB2312" w:cs="仿宋_GB2312" w:eastAsia="仿宋_GB2312"/>
                      <w:sz w:val="21"/>
                    </w:rPr>
                    <w:t>，适应复杂田块；轨距</w:t>
                  </w:r>
                  <w:r>
                    <w:rPr>
                      <w:rFonts w:ascii="仿宋_GB2312" w:hAnsi="仿宋_GB2312" w:cs="仿宋_GB2312" w:eastAsia="仿宋_GB2312"/>
                      <w:sz w:val="21"/>
                    </w:rPr>
                    <w:t>1200</w:t>
                  </w:r>
                  <w:r>
                    <w:rPr>
                      <w:rFonts w:ascii="仿宋_GB2312" w:hAnsi="仿宋_GB2312" w:cs="仿宋_GB2312" w:eastAsia="仿宋_GB2312"/>
                      <w:sz w:val="21"/>
                    </w:rPr>
                    <w:t>–</w:t>
                  </w:r>
                  <w:r>
                    <w:rPr>
                      <w:rFonts w:ascii="仿宋_GB2312" w:hAnsi="仿宋_GB2312" w:cs="仿宋_GB2312" w:eastAsia="仿宋_GB2312"/>
                      <w:sz w:val="21"/>
                    </w:rPr>
                    <w:t>1350mm</w:t>
                  </w:r>
                  <w:r>
                    <w:rPr>
                      <w:rFonts w:ascii="仿宋_GB2312" w:hAnsi="仿宋_GB2312" w:cs="仿宋_GB2312" w:eastAsia="仿宋_GB2312"/>
                      <w:sz w:val="21"/>
                    </w:rPr>
                    <w:t>，行走稳定</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采用切流</w:t>
                  </w:r>
                  <w:r>
                    <w:rPr>
                      <w:rFonts w:ascii="仿宋_GB2312" w:hAnsi="仿宋_GB2312" w:cs="仿宋_GB2312" w:eastAsia="仿宋_GB2312"/>
                      <w:sz w:val="21"/>
                    </w:rPr>
                    <w:t>+</w:t>
                  </w:r>
                  <w:r>
                    <w:rPr>
                      <w:rFonts w:ascii="仿宋_GB2312" w:hAnsi="仿宋_GB2312" w:cs="仿宋_GB2312" w:eastAsia="仿宋_GB2312"/>
                      <w:sz w:val="21"/>
                    </w:rPr>
                    <w:t>横轴流</w:t>
                  </w:r>
                  <w:r>
                    <w:rPr>
                      <w:rFonts w:ascii="仿宋_GB2312" w:hAnsi="仿宋_GB2312" w:cs="仿宋_GB2312" w:eastAsia="仿宋_GB2312"/>
                      <w:sz w:val="21"/>
                    </w:rPr>
                    <w:t>/</w:t>
                  </w:r>
                  <w:r>
                    <w:rPr>
                      <w:rFonts w:ascii="仿宋_GB2312" w:hAnsi="仿宋_GB2312" w:cs="仿宋_GB2312" w:eastAsia="仿宋_GB2312"/>
                      <w:sz w:val="21"/>
                    </w:rPr>
                    <w:t>纵轴流式脱粒；配备鱼鳞筛</w:t>
                  </w:r>
                  <w:r>
                    <w:rPr>
                      <w:rFonts w:ascii="仿宋_GB2312" w:hAnsi="仿宋_GB2312" w:cs="仿宋_GB2312" w:eastAsia="仿宋_GB2312"/>
                      <w:sz w:val="21"/>
                    </w:rPr>
                    <w:t>+</w:t>
                  </w:r>
                  <w:r>
                    <w:rPr>
                      <w:rFonts w:ascii="仿宋_GB2312" w:hAnsi="仿宋_GB2312" w:cs="仿宋_GB2312" w:eastAsia="仿宋_GB2312"/>
                      <w:sz w:val="21"/>
                    </w:rPr>
                    <w:t>振动筛</w:t>
                  </w:r>
                  <w:r>
                    <w:rPr>
                      <w:rFonts w:ascii="仿宋_GB2312" w:hAnsi="仿宋_GB2312" w:cs="仿宋_GB2312" w:eastAsia="仿宋_GB2312"/>
                      <w:sz w:val="21"/>
                    </w:rPr>
                    <w:t>+</w:t>
                  </w:r>
                  <w:r>
                    <w:rPr>
                      <w:rFonts w:ascii="仿宋_GB2312" w:hAnsi="仿宋_GB2312" w:cs="仿宋_GB2312" w:eastAsia="仿宋_GB2312"/>
                      <w:sz w:val="21"/>
                    </w:rPr>
                    <w:t>离心风扇清选系统</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标配封闭驾驶室；配备湿式制动、液压无级变速（</w:t>
                  </w:r>
                  <w:r>
                    <w:rPr>
                      <w:rFonts w:ascii="仿宋_GB2312" w:hAnsi="仿宋_GB2312" w:cs="仿宋_GB2312" w:eastAsia="仿宋_GB2312"/>
                      <w:sz w:val="21"/>
                    </w:rPr>
                    <w:t>HST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配备液压</w:t>
                  </w:r>
                  <w:r>
                    <w:rPr>
                      <w:rFonts w:ascii="仿宋_GB2312" w:hAnsi="仿宋_GB2312" w:cs="仿宋_GB2312" w:eastAsia="仿宋_GB2312"/>
                      <w:sz w:val="21"/>
                    </w:rPr>
                    <w:t>/</w:t>
                  </w:r>
                  <w:r>
                    <w:rPr>
                      <w:rFonts w:ascii="仿宋_GB2312" w:hAnsi="仿宋_GB2312" w:cs="仿宋_GB2312" w:eastAsia="仿宋_GB2312"/>
                      <w:sz w:val="21"/>
                    </w:rPr>
                    <w:t>机械自动卸粮，支持多方位卸粮；油箱容量≥</w:t>
                  </w:r>
                  <w:r>
                    <w:rPr>
                      <w:rFonts w:ascii="仿宋_GB2312" w:hAnsi="仿宋_GB2312" w:cs="仿宋_GB2312" w:eastAsia="仿宋_GB2312"/>
                      <w:sz w:val="21"/>
                    </w:rPr>
                    <w:t>160L</w:t>
                  </w:r>
                  <w:r>
                    <w:rPr>
                      <w:rFonts w:ascii="仿宋_GB2312" w:hAnsi="仿宋_GB2312" w:cs="仿宋_GB2312" w:eastAsia="仿宋_GB2312"/>
                      <w:sz w:val="21"/>
                    </w:rPr>
                    <w:t>，满足长时作业</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适配水稻、小麦、油菜等多种谷物，兼容倒伏作物收获</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标的名称：新建车间及储存室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color w:val="000000"/>
              </w:rPr>
              <w:t>具体详见工程量清单。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供货安装期限15天，质保期1年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工期：20日历天；质量达到合格标准</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略阳县五龙洞镇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略阳县五龙洞镇</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质量达到合格标准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1、采用转账支票或银行电汇形式提交的投标保证金必须从其基本账户转出，投标供应商在缴纳保证金时应注明项目名 称。2、采用银行保函形式提交投标保证金的，应用基本账户保函的银行或市级银行。注：1.须将原件于投标截止时间前一个 工作日内交至代理机构财务处换取保证金收据，2.保证金收据换取地址为:汉中市汉台区竹园天玺办公楼11楼。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1、采用转账支票或银行电汇形式提交的投标保证金必须从其基本账户转出，投标供应商在缴纳保证金时应注明项目名 称。2、采用银行保函形式提交投标保证金的，应用基本账户保函的银行或市级银行。注：1.须将原件于投标截止时间前一个 工作日内交至代理机构财务处换取保证金收据，2.保证金收据换取地址为:汉中市汉台区竹园天玺办公楼11楼。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tc>
        <w:tc>
          <w:tcPr>
            <w:tcW w:type="dxa" w:w="3322"/>
          </w:tcPr>
          <w:p>
            <w:pPr>
              <w:pStyle w:val="null3"/>
            </w:pPr>
            <w:r>
              <w:rPr>
                <w:rFonts w:ascii="仿宋_GB2312" w:hAnsi="仿宋_GB2312" w:cs="仿宋_GB2312" w:eastAsia="仿宋_GB2312"/>
              </w:rPr>
              <w:t>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报价是否超过竞争性谈判文件中规定的预算金额或者最高限价</w:t>
            </w:r>
          </w:p>
        </w:tc>
        <w:tc>
          <w:tcPr>
            <w:tcW w:type="dxa" w:w="3322"/>
          </w:tcPr>
          <w:p>
            <w:pPr>
              <w:pStyle w:val="null3"/>
            </w:pPr>
            <w:r>
              <w:rPr>
                <w:rFonts w:ascii="仿宋_GB2312" w:hAnsi="仿宋_GB2312" w:cs="仿宋_GB2312" w:eastAsia="仿宋_GB2312"/>
              </w:rPr>
              <w:t>报价未超过竞争性谈判文件中规定的预算金额或者最高限价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响应文件封面 汉中市政府采购供应商资格承诺函.pdf 中小企业声明函 残疾人福利性单位声明函 标的清单 报价表 响应函 法定代表人证明书及授权委托书.pdf 监狱企业的证明文件 控股承诺.docx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产品技术参数满足采购文件要求</w:t>
            </w:r>
          </w:p>
        </w:tc>
        <w:tc>
          <w:tcPr>
            <w:tcW w:type="dxa" w:w="1661"/>
          </w:tcPr>
          <w:p>
            <w:pPr>
              <w:pStyle w:val="null3"/>
            </w:pPr>
            <w:r>
              <w:rPr>
                <w:rFonts w:ascii="仿宋_GB2312" w:hAnsi="仿宋_GB2312" w:cs="仿宋_GB2312" w:eastAsia="仿宋_GB2312"/>
              </w:rPr>
              <w:t>产品技术参数表 分项报价表.docx 商务应答表 项目整体实施方案.docx 供应商认为需要说明的其他内容.docx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工程量清单.docx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报价是否超过竞争性谈判文件中规定的预算金额或者最高限价</w:t>
            </w:r>
          </w:p>
        </w:tc>
        <w:tc>
          <w:tcPr>
            <w:tcW w:type="dxa" w:w="3322"/>
          </w:tcPr>
          <w:p>
            <w:pPr>
              <w:pStyle w:val="null3"/>
            </w:pPr>
            <w:r>
              <w:rPr>
                <w:rFonts w:ascii="仿宋_GB2312" w:hAnsi="仿宋_GB2312" w:cs="仿宋_GB2312" w:eastAsia="仿宋_GB2312"/>
              </w:rPr>
              <w:t>报价是否超过竞争性谈判文件中规定的预算金额或者最高限价</w:t>
            </w:r>
          </w:p>
        </w:tc>
        <w:tc>
          <w:tcPr>
            <w:tcW w:type="dxa" w:w="1661"/>
          </w:tcPr>
          <w:p>
            <w:pPr>
              <w:pStyle w:val="null3"/>
            </w:pPr>
            <w:r>
              <w:rPr>
                <w:rFonts w:ascii="仿宋_GB2312" w:hAnsi="仿宋_GB2312" w:cs="仿宋_GB2312" w:eastAsia="仿宋_GB2312"/>
              </w:rPr>
              <w:t>工程量清单.docx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开标一览表.docx 中小企业声明函 商务应答表 报价表 控股承诺.docx 响应文件封面 产品技术参数表 汉中市政府采购供应商资格承诺函.pdf 残疾人福利性单位声明函 标的清单 响应函 法定代表人证明书及授权委托书.pdf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提供项目整体施工方案</w:t>
            </w:r>
          </w:p>
        </w:tc>
        <w:tc>
          <w:tcPr>
            <w:tcW w:type="dxa" w:w="3322"/>
          </w:tcPr>
          <w:p>
            <w:pPr>
              <w:pStyle w:val="null3"/>
            </w:pPr>
            <w:r>
              <w:rPr>
                <w:rFonts w:ascii="仿宋_GB2312" w:hAnsi="仿宋_GB2312" w:cs="仿宋_GB2312" w:eastAsia="仿宋_GB2312"/>
              </w:rPr>
              <w:t>提供项目整体施工方案</w:t>
            </w:r>
          </w:p>
        </w:tc>
        <w:tc>
          <w:tcPr>
            <w:tcW w:type="dxa" w:w="1661"/>
          </w:tcPr>
          <w:p>
            <w:pPr>
              <w:pStyle w:val="null3"/>
            </w:pPr>
            <w:r>
              <w:rPr>
                <w:rFonts w:ascii="仿宋_GB2312" w:hAnsi="仿宋_GB2312" w:cs="仿宋_GB2312" w:eastAsia="仿宋_GB2312"/>
              </w:rPr>
              <w:t>项目整体实施方案.docx 供应商认为需要说明的其他内容.docx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详见附件：项目整体实施方案.docx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详见附件：工程量清单.docx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详见附件：汉中市政府采购供应商资格承诺函.pdf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