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版本号：ZYZH2026-01920260418001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略阳县2026年中央财政林业草原改革发展资金林业有害生物防治项目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ZYZH2026-019</w:t>
      </w:r>
      <w:r>
        <w:br/>
      </w:r>
      <w:r>
        <w:br/>
      </w:r>
      <w:r>
        <w:br/>
      </w:r>
    </w:p>
    <w:p>
      <w:pPr>
        <w:pStyle w:val="null3"/>
        <w:jc w:val="center"/>
        <w:outlineLvl w:val="2"/>
      </w:pPr>
      <w:r>
        <w:rPr>
          <w:rFonts w:ascii="仿宋_GB2312" w:hAnsi="仿宋_GB2312" w:cs="仿宋_GB2312" w:eastAsia="仿宋_GB2312"/>
          <w:sz w:val="28"/>
          <w:b/>
        </w:rPr>
        <w:t>略阳县秦岭生态保护中心</w:t>
      </w:r>
    </w:p>
    <w:p>
      <w:pPr>
        <w:pStyle w:val="null3"/>
        <w:jc w:val="center"/>
        <w:outlineLvl w:val="2"/>
      </w:pPr>
      <w:r>
        <w:rPr>
          <w:rFonts w:ascii="仿宋_GB2312" w:hAnsi="仿宋_GB2312" w:cs="仿宋_GB2312" w:eastAsia="仿宋_GB2312"/>
          <w:sz w:val="28"/>
          <w:b/>
        </w:rPr>
        <w:t>中亿正恒工程管理有限公司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中亿正恒工程管理有限公司</w:t>
      </w:r>
      <w:r>
        <w:rPr>
          <w:rFonts w:ascii="仿宋_GB2312" w:hAnsi="仿宋_GB2312" w:cs="仿宋_GB2312" w:eastAsia="仿宋_GB2312"/>
        </w:rPr>
        <w:t>（以下简称“代理机构”）受</w:t>
      </w:r>
      <w:r>
        <w:rPr>
          <w:rFonts w:ascii="仿宋_GB2312" w:hAnsi="仿宋_GB2312" w:cs="仿宋_GB2312" w:eastAsia="仿宋_GB2312"/>
        </w:rPr>
        <w:t>略阳县秦岭生态保护中心</w:t>
      </w:r>
      <w:r>
        <w:rPr>
          <w:rFonts w:ascii="仿宋_GB2312" w:hAnsi="仿宋_GB2312" w:cs="仿宋_GB2312" w:eastAsia="仿宋_GB2312"/>
        </w:rPr>
        <w:t>委托，拟对</w:t>
      </w:r>
      <w:r>
        <w:rPr>
          <w:rFonts w:ascii="仿宋_GB2312" w:hAnsi="仿宋_GB2312" w:cs="仿宋_GB2312" w:eastAsia="仿宋_GB2312"/>
        </w:rPr>
        <w:t>略阳县2026年中央财政林业草原改革发展资金林业有害生物防治项目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ZYZH2026-019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略阳县2026年中央财政林业草原改革发展资金林业有害生物防治项目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1、白水江镇松村线虫病疫木除治三年绩效承包；2、松材线虫病疫木“即死即清”除治；3、全县经济林木病虫害防治;4、第三方项目专用监理。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采购包1（除治三年绩效）：属于专门面向中小企业采购。</w:t>
      </w:r>
    </w:p>
    <w:p>
      <w:pPr>
        <w:pStyle w:val="null3"/>
      </w:pPr>
      <w:r>
        <w:rPr>
          <w:rFonts w:ascii="仿宋_GB2312" w:hAnsi="仿宋_GB2312" w:cs="仿宋_GB2312" w:eastAsia="仿宋_GB2312"/>
        </w:rPr>
        <w:t>采购包2（松材线虫病疫木即死即清除治）：属于专门面向中小企业采购。</w:t>
      </w:r>
    </w:p>
    <w:p>
      <w:pPr>
        <w:pStyle w:val="null3"/>
      </w:pPr>
      <w:r>
        <w:rPr>
          <w:rFonts w:ascii="仿宋_GB2312" w:hAnsi="仿宋_GB2312" w:cs="仿宋_GB2312" w:eastAsia="仿宋_GB2312"/>
        </w:rPr>
        <w:t>采购包3（经济林木病虫害防治）：属于专门面向中小企业采购。</w:t>
      </w:r>
    </w:p>
    <w:p>
      <w:pPr>
        <w:pStyle w:val="null3"/>
      </w:pPr>
      <w:r>
        <w:rPr>
          <w:rFonts w:ascii="仿宋_GB2312" w:hAnsi="仿宋_GB2312" w:cs="仿宋_GB2312" w:eastAsia="仿宋_GB2312"/>
        </w:rPr>
        <w:t>采购包4（监理）：属于专门面向中小企业采购。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4、供应商须具备陕西省林学会颁发的林业有害生物防治资质证书（丙级及以上）：供应商须具备陕西省林学会颁发的林业有害生物防治资质证书（丙级及以上）。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4、供应商须具备陕西省林学会颁发的林业有害生物防治资质证书（丙级及以上）：供应商须具备陕西省林学会颁发的林业有害生物防治资质证书（丙级及以上）。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4、供应商须具备陕西省林学会颁发的林业有害生物防治资质证书（丙级及以上）：供应商须具备陕西省林学会颁发的林业有害生物防治资质证书（丙级及以上）。</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4、供应商须具备陕西省林学会颁发的林业有害生物防治监理资质证书（丙级及以上）：供应商须具备陕西省林学会颁发的林业有害生物防治监理资质证书（丙级及以上）。</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略阳县秦岭生态保护中心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略阳县县城水灵路林业局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0916-4833420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中亿正恒工程管理有限公司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河南省郑州市郑州高新技术产业开发区西三环河南省大学科技园（东区）18号楼B座5层501</w:t>
      </w:r>
    </w:p>
    <w:p>
      <w:pPr>
        <w:pStyle w:val="null3"/>
      </w:pPr>
      <w:r>
        <w:rPr>
          <w:rFonts w:ascii="仿宋_GB2312" w:hAnsi="仿宋_GB2312" w:cs="仿宋_GB2312" w:eastAsia="仿宋_GB2312"/>
        </w:rPr>
        <w:t xml:space="preserve"> 邮编： </w:t>
      </w:r>
      <w:r>
        <w:rPr>
          <w:rFonts w:ascii="仿宋_GB2312" w:hAnsi="仿宋_GB2312" w:cs="仿宋_GB2312" w:eastAsia="仿宋_GB2312"/>
        </w:rPr>
        <w:t>450000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18149292897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采购包1：1,260,102.00元</w:t>
            </w:r>
          </w:p>
          <w:p>
            <w:pPr>
              <w:pStyle w:val="null3"/>
            </w:pPr>
            <w:r>
              <w:rPr>
                <w:rFonts w:ascii="仿宋_GB2312" w:hAnsi="仿宋_GB2312" w:cs="仿宋_GB2312" w:eastAsia="仿宋_GB2312"/>
              </w:rPr>
              <w:t>采购包2：400,006.00元</w:t>
            </w:r>
          </w:p>
          <w:p>
            <w:pPr>
              <w:pStyle w:val="null3"/>
            </w:pPr>
            <w:r>
              <w:rPr>
                <w:rFonts w:ascii="仿宋_GB2312" w:hAnsi="仿宋_GB2312" w:cs="仿宋_GB2312" w:eastAsia="仿宋_GB2312"/>
              </w:rPr>
              <w:t>采购包3：360,000.00元</w:t>
            </w:r>
          </w:p>
          <w:p>
            <w:pPr>
              <w:pStyle w:val="null3"/>
            </w:pPr>
            <w:r>
              <w:rPr>
                <w:rFonts w:ascii="仿宋_GB2312" w:hAnsi="仿宋_GB2312" w:cs="仿宋_GB2312" w:eastAsia="仿宋_GB2312"/>
              </w:rPr>
              <w:t>采购包4：79,892.00元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采购包2保证金金额：6,000.00元</w:t>
            </w:r>
          </w:p>
          <w:p>
            <w:pPr>
              <w:pStyle w:val="null3"/>
            </w:pPr>
            <w:r>
              <w:rPr>
                <w:rFonts w:ascii="仿宋_GB2312" w:hAnsi="仿宋_GB2312" w:cs="仿宋_GB2312" w:eastAsia="仿宋_GB2312"/>
              </w:rPr>
              <w:t>采购包3保证金金额：6,000.00元</w:t>
            </w:r>
          </w:p>
          <w:p>
            <w:pPr>
              <w:pStyle w:val="null3"/>
            </w:pPr>
            <w:r>
              <w:rPr>
                <w:rFonts w:ascii="仿宋_GB2312" w:hAnsi="仿宋_GB2312" w:cs="仿宋_GB2312" w:eastAsia="仿宋_GB2312"/>
              </w:rPr>
              <w:t>采购包4保证金金额：1,200.00元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开户名称：中亿正恒工程管理有限公司陕西分公司</w:t>
            </w:r>
          </w:p>
          <w:p>
            <w:pPr>
              <w:pStyle w:val="null3"/>
            </w:pPr>
            <w:r>
              <w:rPr>
                <w:rFonts w:ascii="仿宋_GB2312" w:hAnsi="仿宋_GB2312" w:cs="仿宋_GB2312" w:eastAsia="仿宋_GB2312"/>
              </w:rPr>
              <w:t>开户银行：中国银行股份有限公司汉中莲湖路支行</w:t>
            </w:r>
          </w:p>
          <w:p>
            <w:pPr>
              <w:pStyle w:val="null3"/>
            </w:pPr>
            <w:r>
              <w:rPr>
                <w:rFonts w:ascii="仿宋_GB2312" w:hAnsi="仿宋_GB2312" w:cs="仿宋_GB2312" w:eastAsia="仿宋_GB2312"/>
              </w:rPr>
              <w:t>银行账号：103713630342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发改价格〔2011〕534号文及《陕西省住房和城乡建设厅文件陕价行发【2014】88号》文收费标准向采购代理机构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略阳县秦岭生态保护中心</w:t>
      </w:r>
      <w:r>
        <w:rPr>
          <w:rFonts w:ascii="仿宋_GB2312" w:hAnsi="仿宋_GB2312" w:cs="仿宋_GB2312" w:eastAsia="仿宋_GB2312"/>
        </w:rPr>
        <w:t>和</w:t>
      </w:r>
      <w:r>
        <w:rPr>
          <w:rFonts w:ascii="仿宋_GB2312" w:hAnsi="仿宋_GB2312" w:cs="仿宋_GB2312" w:eastAsia="仿宋_GB2312"/>
        </w:rPr>
        <w:t>中亿正恒工程管理有限公司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略阳县秦岭生态保护中心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中亿正恒工程管理有限公司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略阳县秦岭生态保护中心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中亿正恒工程管理有限公司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中亿正恒工程管理有限公司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中亿正恒工程管理有限公司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中亿正恒工程管理有限公司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联系电话：18149292897</w:t>
      </w:r>
    </w:p>
    <w:p>
      <w:pPr>
        <w:pStyle w:val="null3"/>
      </w:pPr>
      <w:r>
        <w:rPr>
          <w:rFonts w:ascii="仿宋_GB2312" w:hAnsi="仿宋_GB2312" w:cs="仿宋_GB2312" w:eastAsia="仿宋_GB2312"/>
        </w:rPr>
        <w:t>地址：汉中市汉台区竹园天玺办公楼16楼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1、白水江镇松村线虫病疫木除治三年绩效承包；2、松材线虫病疫木“即死即清”除治；3、全县经济林木病虫害防治;4、第三方项目专用监理。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1,260,102.00</w:t>
      </w:r>
    </w:p>
    <w:p>
      <w:pPr>
        <w:pStyle w:val="null3"/>
      </w:pPr>
      <w:r>
        <w:rPr>
          <w:rFonts w:ascii="仿宋_GB2312" w:hAnsi="仿宋_GB2312" w:cs="仿宋_GB2312" w:eastAsia="仿宋_GB2312"/>
        </w:rPr>
        <w:t>采购包最高限价（元）: 1,260,102.00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除治三年绩效</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1,260,102.00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400,006.00</w:t>
      </w:r>
    </w:p>
    <w:p>
      <w:pPr>
        <w:pStyle w:val="null3"/>
      </w:pPr>
      <w:r>
        <w:rPr>
          <w:rFonts w:ascii="仿宋_GB2312" w:hAnsi="仿宋_GB2312" w:cs="仿宋_GB2312" w:eastAsia="仿宋_GB2312"/>
        </w:rPr>
        <w:t>采购包最高限价（元）: 400,006.00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松材线虫病疫木即死即清除治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400,006.00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经济林木病虫害防治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79,892.00</w:t>
      </w:r>
    </w:p>
    <w:p>
      <w:pPr>
        <w:pStyle w:val="null3"/>
      </w:pPr>
      <w:r>
        <w:rPr>
          <w:rFonts w:ascii="仿宋_GB2312" w:hAnsi="仿宋_GB2312" w:cs="仿宋_GB2312" w:eastAsia="仿宋_GB2312"/>
        </w:rPr>
        <w:t>采购包最高限价（元）: 79,892.00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监理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79,892.00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标的名称：除治三年绩效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1.实施白水江镇松材线虫病疫木除治三年绩效承包作业：</w:t>
            </w:r>
          </w:p>
          <w:p>
            <w:pPr>
              <w:pStyle w:val="null3"/>
              <w:ind w:firstLine="560"/>
              <w:jc w:val="both"/>
            </w:pPr>
            <w:r>
              <w:rPr>
                <w:rFonts w:ascii="仿宋_GB2312" w:hAnsi="仿宋_GB2312" w:cs="仿宋_GB2312" w:eastAsia="仿宋_GB2312"/>
                <w:sz w:val="28"/>
              </w:rPr>
              <w:t>以白水江镇</w:t>
            </w:r>
            <w:r>
              <w:rPr>
                <w:rFonts w:ascii="仿宋_GB2312" w:hAnsi="仿宋_GB2312" w:cs="仿宋_GB2312" w:eastAsia="仿宋_GB2312"/>
                <w:sz w:val="28"/>
              </w:rPr>
              <w:t>2025年秋季普查，结合实际核查对三年疑似发生枯死松树情</w:t>
            </w:r>
            <w:r>
              <w:rPr>
                <w:rFonts w:ascii="仿宋_GB2312" w:hAnsi="仿宋_GB2312" w:cs="仿宋_GB2312" w:eastAsia="仿宋_GB2312"/>
                <w:sz w:val="28"/>
              </w:rPr>
              <w:t>况和域内</w:t>
            </w:r>
            <w:r>
              <w:rPr>
                <w:rFonts w:ascii="仿宋_GB2312" w:hAnsi="仿宋_GB2312" w:cs="仿宋_GB2312" w:eastAsia="仿宋_GB2312"/>
                <w:sz w:val="28"/>
              </w:rPr>
              <w:t>303个松林小班内的16458.15亩松林(最新全县林草</w:t>
            </w:r>
            <w:r>
              <w:rPr>
                <w:rFonts w:ascii="仿宋_GB2312" w:hAnsi="仿宋_GB2312" w:cs="仿宋_GB2312" w:eastAsia="仿宋_GB2312"/>
                <w:sz w:val="28"/>
              </w:rPr>
              <w:t>湿综合监测数据</w:t>
            </w:r>
            <w:r>
              <w:rPr>
                <w:rFonts w:ascii="仿宋_GB2312" w:hAnsi="仿宋_GB2312" w:cs="仿宋_GB2312" w:eastAsia="仿宋_GB2312"/>
                <w:sz w:val="28"/>
              </w:rPr>
              <w:t>)，将松林面积确定为绩效承包疫木除治任务，2027年5月全部除治处理，2028年对该镇域新发生死亡松树全面除治，到2029年实现该镇域内无枯死松树，巩固除治成果，确保枯死松树除治不反弹。</w:t>
            </w:r>
          </w:p>
          <w:p>
            <w:pPr>
              <w:pStyle w:val="null3"/>
              <w:ind w:firstLine="420"/>
              <w:jc w:val="both"/>
            </w:pPr>
            <w:r>
              <w:rPr>
                <w:rFonts w:ascii="仿宋_GB2312" w:hAnsi="仿宋_GB2312" w:cs="仿宋_GB2312" w:eastAsia="仿宋_GB2312"/>
                <w:sz w:val="28"/>
              </w:rPr>
              <w:t>2.作业区范围及规模</w:t>
            </w:r>
          </w:p>
          <w:p>
            <w:pPr>
              <w:pStyle w:val="null3"/>
              <w:ind w:firstLine="420"/>
              <w:jc w:val="both"/>
            </w:pPr>
            <w:r>
              <w:rPr>
                <w:rFonts w:ascii="仿宋_GB2312" w:hAnsi="仿宋_GB2312" w:cs="仿宋_GB2312" w:eastAsia="仿宋_GB2312"/>
                <w:sz w:val="28"/>
              </w:rPr>
              <w:t>对略阳县白水江镇</w:t>
            </w:r>
            <w:r>
              <w:rPr>
                <w:rFonts w:ascii="仿宋_GB2312" w:hAnsi="仿宋_GB2312" w:cs="仿宋_GB2312" w:eastAsia="仿宋_GB2312"/>
                <w:sz w:val="28"/>
              </w:rPr>
              <w:t>6个村303个小班，面积16458.15亩（封家坝村、权力村、林家山村、小河村、甘溪沟村、大沙坝村）的松材线虫病疫木除治采取三年绩效承包的施工模式，按照春秋两季对白水江镇现场普查并测算三年增长的总株数19689株为本次松材线虫病疫木除治三年绩效承包的计价依据，在实际施工中必须保证对每年度项目区范围内的死亡（病死、濒死、枯死、因灾致死）松树严格按照《松材线虫病防治技术方案（2024年版）》应除尽除，确保枯死松树和疫木完全处理到位，达到一次承包效益最大化。</w:t>
            </w:r>
          </w:p>
          <w:p>
            <w:pPr>
              <w:pStyle w:val="null3"/>
              <w:ind w:firstLine="560"/>
              <w:jc w:val="both"/>
            </w:pPr>
            <w:r>
              <w:rPr>
                <w:rFonts w:ascii="仿宋_GB2312" w:hAnsi="仿宋_GB2312" w:cs="仿宋_GB2312" w:eastAsia="仿宋_GB2312"/>
                <w:sz w:val="28"/>
              </w:rPr>
              <w:t xml:space="preserve">3.除治技术要求                           </w:t>
            </w:r>
          </w:p>
          <w:p>
            <w:pPr>
              <w:pStyle w:val="null3"/>
              <w:ind w:firstLine="420"/>
              <w:jc w:val="both"/>
            </w:pPr>
            <w:r>
              <w:rPr>
                <w:rFonts w:ascii="仿宋_GB2312" w:hAnsi="仿宋_GB2312" w:cs="仿宋_GB2312" w:eastAsia="仿宋_GB2312"/>
                <w:sz w:val="28"/>
              </w:rPr>
              <w:t>项目实施通过合法采购程序选用有林业有害生物防治资质的专业化病虫害疫木除治队伍施工。</w:t>
            </w:r>
            <w:r>
              <w:rPr>
                <w:rFonts w:ascii="仿宋_GB2312" w:hAnsi="仿宋_GB2312" w:cs="仿宋_GB2312" w:eastAsia="仿宋_GB2312"/>
                <w:sz w:val="28"/>
              </w:rPr>
              <w:t>对白水江镇区域内</w:t>
            </w:r>
            <w:r>
              <w:rPr>
                <w:rFonts w:ascii="仿宋_GB2312" w:hAnsi="仿宋_GB2312" w:cs="仿宋_GB2312" w:eastAsia="仿宋_GB2312"/>
                <w:sz w:val="28"/>
              </w:rPr>
              <w:t>的死亡（病死、濒死、其他原因致死）松树均视为疫木，按照相关规定必须办理松树疫木除治林木采伐许可证后进行除治。</w:t>
            </w:r>
          </w:p>
          <w:p>
            <w:pPr>
              <w:pStyle w:val="null3"/>
              <w:ind w:firstLine="420"/>
              <w:jc w:val="both"/>
            </w:pPr>
            <w:r>
              <w:rPr>
                <w:rFonts w:ascii="仿宋_GB2312" w:hAnsi="仿宋_GB2312" w:cs="仿宋_GB2312" w:eastAsia="仿宋_GB2312"/>
                <w:sz w:val="28"/>
              </w:rPr>
              <w:t>死亡（病死、其他原因致死）松树按照国家林草局《松材线虫病防治技术方案（</w:t>
            </w:r>
            <w:r>
              <w:rPr>
                <w:rFonts w:ascii="仿宋_GB2312" w:hAnsi="仿宋_GB2312" w:cs="仿宋_GB2312" w:eastAsia="仿宋_GB2312"/>
                <w:sz w:val="28"/>
              </w:rPr>
              <w:t>2024年版）》的技术要求进行施工作业，严禁疫木下山，就地就近予以清理烧毁处理。采用油锯采伐，严禁使用斧头，控制伐桩高度低于5厘米，将树干、大树枝及直径1厘米以上的树枝截成长度100厘米至150厘米的木段，捡净散落在地面的所有直径1厘米以上的枝条，全部清理收集成堆。对砍伐清理的松树树干和1cm以上的枝丫，应及时就地就近集中到空旷地或避风之山坳，清理干净四周易燃物，选择无风或微风天气，实行焚烧处理，必须烧成灰烬。焚烧死亡松树必须在焚烧坑内进行，可根据实际地形挖焚烧坑，坑大小为：长3米、宽2米、坑内低外高，呈15°夹角，并开好防火线，选择无风天气，在确保安全的情况下进行焚烧，所有木段、枝丫焚烧要彻底，严禁遗漏和流失。</w:t>
            </w:r>
          </w:p>
          <w:p>
            <w:pPr>
              <w:pStyle w:val="null3"/>
              <w:ind w:firstLine="420"/>
              <w:jc w:val="both"/>
            </w:pPr>
            <w:r>
              <w:rPr>
                <w:rFonts w:ascii="仿宋_GB2312" w:hAnsi="仿宋_GB2312" w:cs="仿宋_GB2312" w:eastAsia="仿宋_GB2312"/>
                <w:sz w:val="28"/>
              </w:rPr>
              <w:t>施工前应向有关防火部门报批，焚烧时要实行全过程现场监控，准备好灭火工具，直至烧尽无火为止，确保不造成森林火灾。</w:t>
            </w:r>
          </w:p>
          <w:p>
            <w:pPr>
              <w:pStyle w:val="null3"/>
              <w:ind w:firstLine="420"/>
              <w:jc w:val="both"/>
            </w:pPr>
            <w:r>
              <w:rPr>
                <w:rFonts w:ascii="仿宋_GB2312" w:hAnsi="仿宋_GB2312" w:cs="仿宋_GB2312" w:eastAsia="仿宋_GB2312"/>
                <w:sz w:val="28"/>
              </w:rPr>
              <w:t>伐桩处理方式：覆膜处理，在伐桩上放置磷化铝片</w:t>
            </w:r>
            <w:r>
              <w:rPr>
                <w:rFonts w:ascii="仿宋_GB2312" w:hAnsi="仿宋_GB2312" w:cs="仿宋_GB2312" w:eastAsia="仿宋_GB2312"/>
                <w:sz w:val="28"/>
              </w:rPr>
              <w:t>1～2粒，用0.1毫米以上厚度的塑料薄膜覆盖，绑紧后用土将塑料薄膜四周压实。或使用直径≥0.17毫米，网目数≥16目的锻压钢丝网罩覆盖伐桩，并将钢丝网罩严密固定在伐桩上，并在周围醒目处设立警示牌（注明：处理单位、处理时间、药剂名称）。集中烧毁效果检查：检查疫木焚烧结果，若焚烧彻底，则处理合格；若不合格，则需重新焚烧。秦岭生态保护中心森防股、施工方和监理方技术人员均要如实做好现场记录，每个环节都要落实技术人员进行全过程监管、检查，坚决杜绝将砍伐的死亡松树流失。要落实专人参与疫木除治全过程监管，落实监管责任制度，做好疫木除治区封锁工作，防止疫木流失。疫木除治施工单位、监理单位及作业区涉及的村要明确和落实监管责任人，除治过程中病死树、病枝、病材都要安排专人进行看管，要建立采伐、清理、处理各环节的登记台账，确保所伐松木按指定的方式、地点、数量进行焚烧处理。凡焚烧处理不彻底或伐桩处理不合格的小班，施工队必须进行返工，直到验收合格为止</w:t>
            </w:r>
            <w:r>
              <w:rPr>
                <w:rFonts w:ascii="仿宋_GB2312" w:hAnsi="仿宋_GB2312" w:cs="仿宋_GB2312" w:eastAsia="仿宋_GB2312"/>
                <w:sz w:val="32"/>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标的名称：松材线虫病疫木即死即清除治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实施松材线虫病疫木</w:t>
            </w:r>
            <w:r>
              <w:rPr>
                <w:rFonts w:ascii="仿宋_GB2312" w:hAnsi="仿宋_GB2312" w:cs="仿宋_GB2312" w:eastAsia="仿宋_GB2312"/>
                <w:sz w:val="28"/>
              </w:rPr>
              <w:t>“即死即清”除治：</w:t>
            </w:r>
          </w:p>
          <w:p>
            <w:pPr>
              <w:pStyle w:val="null3"/>
              <w:ind w:firstLine="560"/>
              <w:jc w:val="both"/>
            </w:pPr>
            <w:r>
              <w:rPr>
                <w:rFonts w:ascii="仿宋_GB2312" w:hAnsi="仿宋_GB2312" w:cs="仿宋_GB2312" w:eastAsia="仿宋_GB2312"/>
                <w:sz w:val="28"/>
              </w:rPr>
              <w:t>以</w:t>
            </w:r>
            <w:r>
              <w:rPr>
                <w:rFonts w:ascii="仿宋_GB2312" w:hAnsi="仿宋_GB2312" w:cs="仿宋_GB2312" w:eastAsia="仿宋_GB2312"/>
                <w:sz w:val="28"/>
              </w:rPr>
              <w:t>2025年冬季除治后，在日常监测中新发现松材线虫病枯死松树和疑似松材线虫病枯死（濒死）松树约6250株，其中：五龙洞镇1000株、金家河镇（345国道沿线和金史路沿线）1300株、黑河镇高速公路沿线1550株、硖口驿镇345国道沿线2400株。将以上四个镇的松林小班确定为“即死即清”除治区域，开展除治处理，达到2026年秋季普查前伐区内无枯死松树的目标、巩固全县疫区拔除成果，疫情不反弹。</w:t>
            </w:r>
          </w:p>
          <w:p>
            <w:pPr>
              <w:pStyle w:val="null3"/>
              <w:ind w:firstLine="420"/>
              <w:jc w:val="both"/>
            </w:pPr>
            <w:r>
              <w:rPr>
                <w:rFonts w:ascii="仿宋_GB2312" w:hAnsi="仿宋_GB2312" w:cs="仿宋_GB2312" w:eastAsia="仿宋_GB2312"/>
                <w:sz w:val="28"/>
              </w:rPr>
              <w:t>2.松材线虫病疫木“即死即清”除治任务主要是以</w:t>
            </w:r>
            <w:r>
              <w:rPr>
                <w:rFonts w:ascii="仿宋_GB2312" w:hAnsi="仿宋_GB2312" w:cs="仿宋_GB2312" w:eastAsia="仿宋_GB2312"/>
                <w:sz w:val="28"/>
              </w:rPr>
              <w:t>2026</w:t>
            </w:r>
            <w:r>
              <w:rPr>
                <w:rFonts w:ascii="仿宋_GB2312" w:hAnsi="仿宋_GB2312" w:cs="仿宋_GB2312" w:eastAsia="仿宋_GB2312"/>
                <w:sz w:val="28"/>
              </w:rPr>
              <w:t>年春季除治后，在日常监测中新发现松材线虫病枯死松树和疑似松材线虫病枯死（濒死）松树约</w:t>
            </w:r>
            <w:r>
              <w:rPr>
                <w:rFonts w:ascii="仿宋_GB2312" w:hAnsi="仿宋_GB2312" w:cs="仿宋_GB2312" w:eastAsia="仿宋_GB2312"/>
                <w:sz w:val="28"/>
              </w:rPr>
              <w:t>6250株，其中：五龙洞镇1000株、金家河镇（345国道沿线和金史路沿线）1300株、黑河镇高速公路沿线1550株、硖口驿镇345国道沿线2400株。将以上四个镇的松林小班确定为“即死即清”除治区域，开展除治处理，达到2026年秋季普查前伐区内无枯死松树的目标、巩固全县疫情除治成果，疫情不反弹。</w:t>
            </w:r>
          </w:p>
          <w:p>
            <w:pPr>
              <w:pStyle w:val="null3"/>
              <w:ind w:firstLine="420"/>
              <w:jc w:val="both"/>
            </w:pPr>
            <w:r>
              <w:rPr>
                <w:rFonts w:ascii="仿宋_GB2312" w:hAnsi="仿宋_GB2312" w:cs="仿宋_GB2312" w:eastAsia="仿宋_GB2312"/>
                <w:sz w:val="28"/>
              </w:rPr>
              <w:t>3. 除治技术要求</w:t>
            </w:r>
          </w:p>
          <w:p>
            <w:pPr>
              <w:pStyle w:val="null3"/>
              <w:ind w:firstLine="420"/>
              <w:jc w:val="both"/>
            </w:pPr>
            <w:r>
              <w:rPr>
                <w:rFonts w:ascii="仿宋_GB2312" w:hAnsi="仿宋_GB2312" w:cs="仿宋_GB2312" w:eastAsia="仿宋_GB2312"/>
                <w:sz w:val="28"/>
              </w:rPr>
              <w:t>疫木采伐</w:t>
            </w:r>
            <w:r>
              <w:rPr>
                <w:rFonts w:ascii="仿宋_GB2312" w:hAnsi="仿宋_GB2312" w:cs="仿宋_GB2312" w:eastAsia="仿宋_GB2312"/>
                <w:sz w:val="28"/>
              </w:rPr>
              <w:t>：由取得林业有害生物防治资质的施工方</w:t>
            </w:r>
            <w:r>
              <w:rPr>
                <w:rFonts w:ascii="仿宋_GB2312" w:hAnsi="仿宋_GB2312" w:cs="仿宋_GB2312" w:eastAsia="仿宋_GB2312"/>
                <w:sz w:val="28"/>
              </w:rPr>
              <w:t>会同监理公司加强</w:t>
            </w:r>
            <w:r>
              <w:rPr>
                <w:rFonts w:ascii="仿宋_GB2312" w:hAnsi="仿宋_GB2312" w:cs="仿宋_GB2312" w:eastAsia="仿宋_GB2312"/>
                <w:sz w:val="28"/>
              </w:rPr>
              <w:t>“即死即清”除治承包区域内的枯死（濒死）松树以择伐方式及时进行“即死即清”除治清理。按松材线虫病防治技术方案（2024 年版）技术标准要求彻底销毁枯死松树，对采伐的松木和采伐迹地上直径超过 1 厘米的枝丫需全部清理，并实行全过程现场监管，做到随发现随除治、应除尽除。除治区域应设置除治标识，内容包括除治地点、除治面积和株数、除治方式、作业单位、监督电话等信息。</w:t>
            </w:r>
          </w:p>
          <w:p>
            <w:pPr>
              <w:pStyle w:val="null3"/>
              <w:ind w:firstLine="420"/>
              <w:jc w:val="both"/>
            </w:pPr>
            <w:r>
              <w:rPr>
                <w:rFonts w:ascii="仿宋_GB2312" w:hAnsi="仿宋_GB2312" w:cs="仿宋_GB2312" w:eastAsia="仿宋_GB2312"/>
                <w:sz w:val="28"/>
              </w:rPr>
              <w:t>疫木销毁：结合我县地形及疫点分布情况，疫木采用烧毁的方式进行处理。疫木伐倒后，将主干切割成</w:t>
            </w:r>
            <w:r>
              <w:rPr>
                <w:rFonts w:ascii="仿宋_GB2312" w:hAnsi="仿宋_GB2312" w:cs="仿宋_GB2312" w:eastAsia="仿宋_GB2312"/>
                <w:sz w:val="28"/>
              </w:rPr>
              <w:t>1—2m长的段木，对直径1cm以上的枝丫、树皮和厚度1cm以上的木块必须全部清理集中就近及时进行除害处理；“即死即清”施工期间，必须按照当日采伐当日销毁的要求进行处置，焚烧现场要实行全过程旁站式监管，确保用火安全。坚决禁止疫木外运，除治效果显著。</w:t>
            </w:r>
          </w:p>
          <w:p>
            <w:pPr>
              <w:pStyle w:val="null3"/>
              <w:ind w:firstLine="420"/>
              <w:jc w:val="both"/>
            </w:pPr>
            <w:r>
              <w:rPr>
                <w:rFonts w:ascii="仿宋_GB2312" w:hAnsi="仿宋_GB2312" w:cs="仿宋_GB2312" w:eastAsia="仿宋_GB2312"/>
                <w:sz w:val="28"/>
              </w:rPr>
              <w:t>伐桩处理：人工伐除松材线虫病疫木、濒死松树或其他原因致死的松树，伐根要贴近地面切割，作业时注重保护其他幼树、幼苗。疫木伐倒后，要立即处理伐桩，其高度距离地面不得超过</w:t>
            </w:r>
            <w:r>
              <w:rPr>
                <w:rFonts w:ascii="仿宋_GB2312" w:hAnsi="仿宋_GB2312" w:cs="仿宋_GB2312" w:eastAsia="仿宋_GB2312"/>
                <w:sz w:val="28"/>
              </w:rPr>
              <w:t>5cm，在伐桩上放置磷化铝片1—2粒，用0.1毫米以上厚度的塑料薄膜覆盖绑紧后用土将塑料薄膜四周压实，进行密封熏蒸，杀灭松材线虫、松褐天牛，清除伐桩病源和媒介昆虫。或使用钢丝直径≥0.17毫米，网目数≥16目的锻压钢丝网罩覆盖伐桩，并将钢丝网罩严密固定在伐桩上严防天牛逃逸。</w:t>
            </w:r>
          </w:p>
          <w:p>
            <w:pPr>
              <w:pStyle w:val="null3"/>
              <w:ind w:firstLine="420"/>
              <w:jc w:val="both"/>
            </w:pPr>
            <w:r>
              <w:rPr>
                <w:rFonts w:ascii="仿宋_GB2312" w:hAnsi="仿宋_GB2312" w:cs="仿宋_GB2312" w:eastAsia="仿宋_GB2312"/>
                <w:sz w:val="28"/>
              </w:rPr>
              <w:t>档案管理：</w:t>
            </w:r>
            <w:r>
              <w:rPr>
                <w:rFonts w:ascii="仿宋_GB2312" w:hAnsi="仿宋_GB2312" w:cs="仿宋_GB2312" w:eastAsia="仿宋_GB2312"/>
                <w:sz w:val="28"/>
              </w:rPr>
              <w:t>“即死即清”除治施工单位和监理方要建立松材线虫病疫情除治地块、除治范围、施工责任、松材线虫病疫木清理销毁、伐桩处理等工作台账，建立各除治小班的松材线虫病疫木除治前和除治过程中的疫木烧毁、伐桩处理影像资料和纸质资料及施工日志备查，严禁疫木流失或烧毁不彻底的现象发生，确保各级检查验收合格。</w:t>
            </w:r>
          </w:p>
          <w:p>
            <w:pPr>
              <w:pStyle w:val="null3"/>
              <w:ind w:firstLine="420"/>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标的名称：经济林木病虫害防治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1.实施全县经济林木病虫害防治：</w:t>
            </w:r>
          </w:p>
          <w:p>
            <w:pPr>
              <w:pStyle w:val="null3"/>
              <w:ind w:firstLine="560"/>
              <w:jc w:val="both"/>
            </w:pPr>
            <w:r>
              <w:rPr>
                <w:rFonts w:ascii="仿宋_GB2312" w:hAnsi="仿宋_GB2312" w:cs="仿宋_GB2312" w:eastAsia="仿宋_GB2312"/>
                <w:sz w:val="28"/>
              </w:rPr>
              <w:t>根据略阳县</w:t>
            </w:r>
            <w:r>
              <w:rPr>
                <w:rFonts w:ascii="仿宋_GB2312" w:hAnsi="仿宋_GB2312" w:cs="仿宋_GB2312" w:eastAsia="仿宋_GB2312"/>
                <w:sz w:val="28"/>
              </w:rPr>
              <w:t>17个镇街不同的经济林种类、病虫害发生情况和地理环境特点，采取针对性的防治措施，确保防治效果。</w:t>
            </w:r>
            <w:r>
              <w:rPr>
                <w:rFonts w:ascii="仿宋_GB2312" w:hAnsi="仿宋_GB2312" w:cs="仿宋_GB2312" w:eastAsia="仿宋_GB2312"/>
                <w:sz w:val="28"/>
              </w:rPr>
              <w:t>由取得林业有害生物防治资质的施工方开展</w:t>
            </w:r>
            <w:r>
              <w:rPr>
                <w:rFonts w:ascii="仿宋_GB2312" w:hAnsi="仿宋_GB2312" w:cs="仿宋_GB2312" w:eastAsia="仿宋_GB2312"/>
                <w:sz w:val="28"/>
              </w:rPr>
              <w:t>生态与营林、物理与生物防治、科学用药指导、强化重</w:t>
            </w:r>
            <w:r>
              <w:rPr>
                <w:rFonts w:ascii="仿宋_GB2312" w:hAnsi="仿宋_GB2312" w:cs="仿宋_GB2312" w:eastAsia="仿宋_GB2312"/>
                <w:sz w:val="28"/>
              </w:rPr>
              <w:t>点害虫应急除治、防治技术培训等措施，有效控制病虫害的发生和蔓延。</w:t>
            </w:r>
          </w:p>
          <w:p>
            <w:pPr>
              <w:pStyle w:val="null3"/>
              <w:ind w:firstLine="560"/>
              <w:jc w:val="both"/>
            </w:pPr>
            <w:r>
              <w:rPr>
                <w:rFonts w:ascii="仿宋_GB2312" w:hAnsi="仿宋_GB2312" w:cs="仿宋_GB2312" w:eastAsia="仿宋_GB2312"/>
                <w:sz w:val="28"/>
              </w:rPr>
              <w:t>2. 防治原则</w:t>
            </w:r>
          </w:p>
          <w:p>
            <w:pPr>
              <w:pStyle w:val="null3"/>
              <w:ind w:firstLine="560"/>
              <w:jc w:val="both"/>
            </w:pPr>
            <w:r>
              <w:rPr>
                <w:rFonts w:ascii="仿宋_GB2312" w:hAnsi="仿宋_GB2312" w:cs="仿宋_GB2312" w:eastAsia="仿宋_GB2312"/>
                <w:sz w:val="28"/>
              </w:rPr>
              <w:t>一是坚持</w:t>
            </w:r>
            <w:r>
              <w:rPr>
                <w:rFonts w:ascii="仿宋_GB2312" w:hAnsi="仿宋_GB2312" w:cs="仿宋_GB2312" w:eastAsia="仿宋_GB2312"/>
                <w:sz w:val="28"/>
              </w:rPr>
              <w:t>"预防为主、绿色防控、精准施药、物理优先"的原则，构建"天上无人机喷药、地上</w:t>
            </w:r>
            <w:r>
              <w:rPr>
                <w:rFonts w:ascii="仿宋_GB2312" w:hAnsi="仿宋_GB2312" w:cs="仿宋_GB2312" w:eastAsia="仿宋_GB2312"/>
                <w:sz w:val="28"/>
              </w:rPr>
              <w:t>物理</w:t>
            </w:r>
            <w:r>
              <w:rPr>
                <w:rFonts w:ascii="仿宋_GB2312" w:hAnsi="仿宋_GB2312" w:cs="仿宋_GB2312" w:eastAsia="仿宋_GB2312"/>
                <w:sz w:val="28"/>
              </w:rPr>
              <w:t>诱杀</w:t>
            </w:r>
            <w:r>
              <w:rPr>
                <w:rFonts w:ascii="仿宋_GB2312" w:hAnsi="仿宋_GB2312" w:cs="仿宋_GB2312" w:eastAsia="仿宋_GB2312"/>
                <w:sz w:val="28"/>
              </w:rPr>
              <w:t>和化学防治</w:t>
            </w:r>
            <w:r>
              <w:rPr>
                <w:rFonts w:ascii="仿宋_GB2312" w:hAnsi="仿宋_GB2312" w:cs="仿宋_GB2312" w:eastAsia="仿宋_GB2312"/>
                <w:sz w:val="28"/>
              </w:rPr>
              <w:t>"的立体防控体系</w:t>
            </w:r>
            <w:r>
              <w:rPr>
                <w:rFonts w:ascii="仿宋_GB2312" w:hAnsi="仿宋_GB2312" w:cs="仿宋_GB2312" w:eastAsia="仿宋_GB2312"/>
                <w:sz w:val="28"/>
              </w:rPr>
              <w:t>，有效控制病虫害的发生和蔓延。</w:t>
            </w:r>
          </w:p>
          <w:p>
            <w:pPr>
              <w:pStyle w:val="null3"/>
              <w:ind w:firstLine="560"/>
              <w:jc w:val="both"/>
            </w:pPr>
            <w:r>
              <w:rPr>
                <w:rFonts w:ascii="仿宋_GB2312" w:hAnsi="仿宋_GB2312" w:cs="仿宋_GB2312" w:eastAsia="仿宋_GB2312"/>
                <w:sz w:val="28"/>
              </w:rPr>
              <w:t>二是</w:t>
            </w:r>
            <w:r>
              <w:rPr>
                <w:rFonts w:ascii="仿宋_GB2312" w:hAnsi="仿宋_GB2312" w:cs="仿宋_GB2312" w:eastAsia="仿宋_GB2312"/>
                <w:sz w:val="28"/>
              </w:rPr>
              <w:t>科学用药，保护环境</w:t>
            </w:r>
            <w:r>
              <w:rPr>
                <w:rFonts w:ascii="仿宋_GB2312" w:hAnsi="仿宋_GB2312" w:cs="仿宋_GB2312" w:eastAsia="仿宋_GB2312"/>
                <w:sz w:val="28"/>
              </w:rPr>
              <w:t>。</w:t>
            </w:r>
            <w:r>
              <w:rPr>
                <w:rFonts w:ascii="仿宋_GB2312" w:hAnsi="仿宋_GB2312" w:cs="仿宋_GB2312" w:eastAsia="仿宋_GB2312"/>
                <w:sz w:val="28"/>
              </w:rPr>
              <w:t>在使用化学农药时，严格按照国家规定的安全用药标准，选择高效、低毒、低残留的农药品种，减少农药对环境和人体的危害。</w:t>
            </w:r>
          </w:p>
          <w:p>
            <w:pPr>
              <w:pStyle w:val="null3"/>
              <w:ind w:firstLine="560"/>
              <w:jc w:val="both"/>
            </w:pPr>
            <w:r>
              <w:rPr>
                <w:rFonts w:ascii="仿宋_GB2312" w:hAnsi="仿宋_GB2312" w:cs="仿宋_GB2312" w:eastAsia="仿宋_GB2312"/>
                <w:sz w:val="28"/>
              </w:rPr>
              <w:t>三是</w:t>
            </w:r>
            <w:r>
              <w:rPr>
                <w:rFonts w:ascii="仿宋_GB2312" w:hAnsi="仿宋_GB2312" w:cs="仿宋_GB2312" w:eastAsia="仿宋_GB2312"/>
                <w:sz w:val="28"/>
              </w:rPr>
              <w:t>因地制宜，分类</w:t>
            </w:r>
            <w:r>
              <w:rPr>
                <w:rFonts w:ascii="仿宋_GB2312" w:hAnsi="仿宋_GB2312" w:cs="仿宋_GB2312" w:eastAsia="仿宋_GB2312"/>
                <w:sz w:val="28"/>
              </w:rPr>
              <w:t>施策。</w:t>
            </w:r>
            <w:r>
              <w:rPr>
                <w:rFonts w:ascii="仿宋_GB2312" w:hAnsi="仿宋_GB2312" w:cs="仿宋_GB2312" w:eastAsia="仿宋_GB2312"/>
                <w:sz w:val="28"/>
              </w:rPr>
              <w:t>根据各镇</w:t>
            </w:r>
            <w:r>
              <w:rPr>
                <w:rFonts w:ascii="仿宋_GB2312" w:hAnsi="仿宋_GB2312" w:cs="仿宋_GB2312" w:eastAsia="仿宋_GB2312"/>
                <w:sz w:val="28"/>
              </w:rPr>
              <w:t>街</w:t>
            </w:r>
            <w:r>
              <w:rPr>
                <w:rFonts w:ascii="仿宋_GB2312" w:hAnsi="仿宋_GB2312" w:cs="仿宋_GB2312" w:eastAsia="仿宋_GB2312"/>
                <w:sz w:val="28"/>
              </w:rPr>
              <w:t>的经济林种类、病虫害发生情况和地理环境特点，</w:t>
            </w:r>
            <w:r>
              <w:rPr>
                <w:rFonts w:ascii="仿宋_GB2312" w:hAnsi="仿宋_GB2312" w:cs="仿宋_GB2312" w:eastAsia="仿宋_GB2312"/>
                <w:sz w:val="28"/>
              </w:rPr>
              <w:t>采取无人机喷药、</w:t>
            </w:r>
            <w:r>
              <w:rPr>
                <w:rFonts w:ascii="仿宋_GB2312" w:hAnsi="仿宋_GB2312" w:cs="仿宋_GB2312" w:eastAsia="仿宋_GB2312"/>
                <w:sz w:val="28"/>
              </w:rPr>
              <w:t>杀虫灯、诱捕器、粘虫黄板</w:t>
            </w:r>
            <w:r>
              <w:rPr>
                <w:rFonts w:ascii="仿宋_GB2312" w:hAnsi="仿宋_GB2312" w:cs="仿宋_GB2312" w:eastAsia="仿宋_GB2312"/>
                <w:sz w:val="28"/>
              </w:rPr>
              <w:t>等针对性的</w:t>
            </w:r>
            <w:r>
              <w:rPr>
                <w:rFonts w:ascii="仿宋_GB2312" w:hAnsi="仿宋_GB2312" w:cs="仿宋_GB2312" w:eastAsia="仿宋_GB2312"/>
                <w:sz w:val="28"/>
              </w:rPr>
              <w:t>防治措施，有效控制病虫害蔓延，保障经济林产业提质增效</w:t>
            </w:r>
            <w:r>
              <w:rPr>
                <w:rFonts w:ascii="仿宋_GB2312" w:hAnsi="仿宋_GB2312" w:cs="仿宋_GB2312" w:eastAsia="仿宋_GB2312"/>
                <w:sz w:val="28"/>
              </w:rPr>
              <w:t>，</w:t>
            </w:r>
            <w:r>
              <w:rPr>
                <w:rFonts w:ascii="仿宋_GB2312" w:hAnsi="仿宋_GB2312" w:cs="仿宋_GB2312" w:eastAsia="仿宋_GB2312"/>
                <w:sz w:val="28"/>
              </w:rPr>
              <w:t>确保防治效果。</w:t>
            </w:r>
          </w:p>
          <w:p>
            <w:pPr>
              <w:pStyle w:val="null3"/>
              <w:spacing w:before="60"/>
              <w:ind w:firstLine="562"/>
              <w:jc w:val="both"/>
            </w:pPr>
            <w:r>
              <w:rPr>
                <w:rFonts w:ascii="仿宋_GB2312" w:hAnsi="仿宋_GB2312" w:cs="仿宋_GB2312" w:eastAsia="仿宋_GB2312"/>
                <w:sz w:val="28"/>
                <w:b/>
              </w:rPr>
              <w:t>3.防治任务</w:t>
            </w:r>
          </w:p>
          <w:p>
            <w:pPr>
              <w:pStyle w:val="null3"/>
              <w:ind w:firstLine="560"/>
              <w:jc w:val="both"/>
            </w:pPr>
            <w:r>
              <w:rPr>
                <w:rFonts w:ascii="仿宋_GB2312" w:hAnsi="仿宋_GB2312" w:cs="仿宋_GB2312" w:eastAsia="仿宋_GB2312"/>
                <w:sz w:val="28"/>
              </w:rPr>
              <w:t>一是完</w:t>
            </w:r>
            <w:r>
              <w:rPr>
                <w:rFonts w:ascii="仿宋_GB2312" w:hAnsi="仿宋_GB2312" w:cs="仿宋_GB2312" w:eastAsia="仿宋_GB2312"/>
                <w:sz w:val="28"/>
              </w:rPr>
              <w:t>成</w:t>
            </w:r>
            <w:r>
              <w:rPr>
                <w:rFonts w:ascii="仿宋_GB2312" w:hAnsi="仿宋_GB2312" w:cs="仿宋_GB2312" w:eastAsia="仿宋_GB2312"/>
                <w:sz w:val="28"/>
              </w:rPr>
              <w:t>2万亩经济林木的病虫害防治任务</w:t>
            </w:r>
            <w:r>
              <w:rPr>
                <w:rFonts w:ascii="仿宋_GB2312" w:hAnsi="仿宋_GB2312" w:cs="仿宋_GB2312" w:eastAsia="仿宋_GB2312"/>
                <w:sz w:val="28"/>
              </w:rPr>
              <w:t>，其中徐家坪</w:t>
            </w:r>
            <w:r>
              <w:rPr>
                <w:rFonts w:ascii="仿宋_GB2312" w:hAnsi="仿宋_GB2312" w:cs="仿宋_GB2312" w:eastAsia="仿宋_GB2312"/>
                <w:sz w:val="28"/>
              </w:rPr>
              <w:t>2100亩、白水江900亩、马蹄湾700亩、横现河1600亩、金家河1300亩、郭镇1500亩、白雀寺1300亩、乐素河1000亩、硖口驿1400亩、接官亭1400亩、兴州街道1400亩、五龙洞1400亩、两河口1000亩、黑河700亩、观音寺600亩、仙台坝600亩、西淮坝1100亩，因地制宜，较大面积且集中连片的经济林木种植区域采用无人机防治，点状分布区域采用人工喷药实施且物理和化学相结合的防控措施，同时做好个别区域经济林木病虫害的突发应急除治措施，实现全覆盖防治</w:t>
            </w:r>
            <w:r>
              <w:rPr>
                <w:rFonts w:ascii="仿宋_GB2312" w:hAnsi="仿宋_GB2312" w:cs="仿宋_GB2312" w:eastAsia="仿宋_GB2312"/>
                <w:sz w:val="28"/>
              </w:rPr>
              <w:t>。</w:t>
            </w:r>
            <w:r>
              <w:rPr>
                <w:rFonts w:ascii="仿宋_GB2312" w:hAnsi="仿宋_GB2312" w:cs="仿宋_GB2312" w:eastAsia="仿宋_GB2312"/>
                <w:sz w:val="28"/>
              </w:rPr>
              <w:t>（详见下图）</w:t>
            </w:r>
          </w:p>
          <w:tbl>
            <w:tblPr>
              <w:tblBorders>
                <w:top w:val="none" w:color="000000" w:sz="4"/>
                <w:left w:val="none" w:color="000000" w:sz="4"/>
                <w:bottom w:val="none" w:color="000000" w:sz="4"/>
                <w:right w:val="none" w:color="000000" w:sz="4"/>
                <w:insideH w:val="none"/>
                <w:insideV w:val="none"/>
              </w:tblBorders>
            </w:tblPr>
            <w:tblGrid>
              <w:gridCol w:w="242"/>
              <w:gridCol w:w="321"/>
              <w:gridCol w:w="259"/>
              <w:gridCol w:w="198"/>
              <w:gridCol w:w="211"/>
              <w:gridCol w:w="202"/>
              <w:gridCol w:w="198"/>
              <w:gridCol w:w="193"/>
              <w:gridCol w:w="184"/>
              <w:gridCol w:w="519"/>
            </w:tblGrid>
            <w:tr>
              <w:tc>
                <w:tcPr>
                  <w:tcW w:type="dxa" w:w="2527"/>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略阳县</w:t>
                  </w:r>
                  <w:r>
                    <w:rPr>
                      <w:rFonts w:ascii="仿宋_GB2312" w:hAnsi="仿宋_GB2312" w:cs="仿宋_GB2312" w:eastAsia="仿宋_GB2312"/>
                      <w:sz w:val="22"/>
                      <w:color w:val="000000"/>
                    </w:rPr>
                    <w:t>2026年经济林木病虫害防治任务规划</w:t>
                  </w:r>
                </w:p>
              </w:tc>
            </w:tr>
            <w:tr>
              <w:tc>
                <w:tcPr>
                  <w:tcW w:type="dxa" w:w="2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3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单位：亩</w:t>
                  </w:r>
                </w:p>
              </w:tc>
            </w:tr>
            <w:tr>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镇街名称</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防治</w:t>
                  </w:r>
                </w:p>
                <w:p>
                  <w:pPr>
                    <w:pStyle w:val="null3"/>
                    <w:jc w:val="center"/>
                  </w:pPr>
                  <w:r>
                    <w:rPr>
                      <w:rFonts w:ascii="仿宋_GB2312" w:hAnsi="仿宋_GB2312" w:cs="仿宋_GB2312" w:eastAsia="仿宋_GB2312"/>
                      <w:sz w:val="22"/>
                      <w:color w:val="000000"/>
                    </w:rPr>
                    <w:t>总面积</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花椒</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核桃</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板栗</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杜仲</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石榴</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银杏</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其他</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西淮坝镇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徐家坪镇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白水江镇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马蹄湾镇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横现河街道</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金家河镇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郭镇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白雀寺镇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乐素河镇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硖口驿镇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接官亭镇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兴州街道</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象山梅园</w:t>
                  </w:r>
                  <w:r>
                    <w:rPr>
                      <w:rFonts w:ascii="仿宋_GB2312" w:hAnsi="仿宋_GB2312" w:cs="仿宋_GB2312" w:eastAsia="仿宋_GB2312"/>
                      <w:sz w:val="22"/>
                      <w:color w:val="000000"/>
                    </w:rPr>
                    <w:t>300亩</w:t>
                  </w:r>
                  <w:r>
                    <w:br/>
                  </w:r>
                  <w:r>
                    <w:rPr>
                      <w:rFonts w:ascii="仿宋_GB2312" w:hAnsi="仿宋_GB2312" w:cs="仿宋_GB2312" w:eastAsia="仿宋_GB2312"/>
                      <w:sz w:val="22"/>
                      <w:color w:val="000000"/>
                    </w:rPr>
                    <w:t>南山公园</w:t>
                  </w:r>
                  <w:r>
                    <w:rPr>
                      <w:rFonts w:ascii="仿宋_GB2312" w:hAnsi="仿宋_GB2312" w:cs="仿宋_GB2312" w:eastAsia="仿宋_GB2312"/>
                      <w:sz w:val="22"/>
                      <w:color w:val="000000"/>
                    </w:rPr>
                    <w:t>200亩</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五龙洞镇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两河口镇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黑河镇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观音寺镇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仙台坝镇</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合计</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4850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4900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1450</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r>
          </w:tbl>
          <w:p>
            <w:pPr>
              <w:pStyle w:val="null3"/>
              <w:jc w:val="both"/>
            </w:pPr>
            <w:r>
              <w:rPr>
                <w:rFonts w:ascii="仿宋_GB2312" w:hAnsi="仿宋_GB2312" w:cs="仿宋_GB2312" w:eastAsia="仿宋_GB2312"/>
                <w:sz w:val="28"/>
              </w:rPr>
              <w:t xml:space="preserve">  </w:t>
            </w:r>
            <w:r>
              <w:rPr>
                <w:rFonts w:ascii="仿宋_GB2312" w:hAnsi="仿宋_GB2312" w:cs="仿宋_GB2312" w:eastAsia="仿宋_GB2312"/>
                <w:sz w:val="28"/>
              </w:rPr>
              <w:t>二是</w:t>
            </w:r>
            <w:r>
              <w:rPr>
                <w:rFonts w:ascii="仿宋_GB2312" w:hAnsi="仿宋_GB2312" w:cs="仿宋_GB2312" w:eastAsia="仿宋_GB2312"/>
                <w:sz w:val="28"/>
              </w:rPr>
              <w:t>重点防治举肢蛾、</w:t>
            </w:r>
            <w:r>
              <w:rPr>
                <w:rFonts w:ascii="仿宋_GB2312" w:hAnsi="仿宋_GB2312" w:cs="仿宋_GB2312" w:eastAsia="仿宋_GB2312"/>
                <w:sz w:val="28"/>
              </w:rPr>
              <w:t>尺蠖、银杏大蚕蛾、光肩星天牛</w:t>
            </w:r>
            <w:r>
              <w:rPr>
                <w:rFonts w:ascii="仿宋_GB2312" w:hAnsi="仿宋_GB2312" w:cs="仿宋_GB2312" w:eastAsia="仿宋_GB2312"/>
                <w:sz w:val="28"/>
              </w:rPr>
              <w:t>等主要害虫，</w:t>
            </w:r>
            <w:r>
              <w:rPr>
                <w:rFonts w:ascii="仿宋_GB2312" w:hAnsi="仿宋_GB2312" w:cs="仿宋_GB2312" w:eastAsia="仿宋_GB2312"/>
                <w:sz w:val="28"/>
              </w:rPr>
              <w:t>降低</w:t>
            </w:r>
            <w:r>
              <w:rPr>
                <w:rFonts w:ascii="仿宋_GB2312" w:hAnsi="仿宋_GB2312" w:cs="仿宋_GB2312" w:eastAsia="仿宋_GB2312"/>
                <w:sz w:val="28"/>
              </w:rPr>
              <w:t>病虫害越冬基数</w:t>
            </w:r>
            <w:r>
              <w:rPr>
                <w:rFonts w:ascii="仿宋_GB2312" w:hAnsi="仿宋_GB2312" w:cs="仿宋_GB2312" w:eastAsia="仿宋_GB2312"/>
                <w:sz w:val="28"/>
              </w:rPr>
              <w:t>和虫口密度</w:t>
            </w:r>
            <w:r>
              <w:rPr>
                <w:rFonts w:ascii="仿宋_GB2312" w:hAnsi="仿宋_GB2312" w:cs="仿宋_GB2312" w:eastAsia="仿宋_GB2312"/>
                <w:sz w:val="28"/>
              </w:rPr>
              <w:t>。</w:t>
            </w:r>
          </w:p>
          <w:p>
            <w:pPr>
              <w:pStyle w:val="null3"/>
              <w:spacing w:before="60"/>
              <w:ind w:firstLine="562"/>
              <w:jc w:val="both"/>
            </w:pPr>
            <w:r>
              <w:rPr>
                <w:rFonts w:ascii="仿宋_GB2312" w:hAnsi="仿宋_GB2312" w:cs="仿宋_GB2312" w:eastAsia="仿宋_GB2312"/>
                <w:sz w:val="28"/>
                <w:b/>
              </w:rPr>
              <w:t>4.具体防治措施</w:t>
            </w:r>
          </w:p>
          <w:p>
            <w:pPr>
              <w:pStyle w:val="null3"/>
              <w:ind w:firstLine="560"/>
              <w:jc w:val="both"/>
            </w:pPr>
            <w:r>
              <w:rPr>
                <w:rFonts w:ascii="仿宋_GB2312" w:hAnsi="仿宋_GB2312" w:cs="仿宋_GB2312" w:eastAsia="仿宋_GB2312"/>
                <w:sz w:val="28"/>
              </w:rPr>
              <w:t>采用高效低毒，低残留广谱杀虫剂开展化学防治，结合光诱收集、悬挂粘虫黄板等技术措施开展物理防治相结合的模式开展经济林木病虫害防治。</w:t>
            </w:r>
          </w:p>
          <w:p>
            <w:pPr>
              <w:pStyle w:val="null3"/>
              <w:ind w:firstLine="562"/>
              <w:jc w:val="both"/>
            </w:pPr>
            <w:r>
              <w:rPr>
                <w:rFonts w:ascii="仿宋_GB2312" w:hAnsi="仿宋_GB2312" w:cs="仿宋_GB2312" w:eastAsia="仿宋_GB2312"/>
                <w:sz w:val="28"/>
                <w:b/>
              </w:rPr>
              <w:t>5.</w:t>
            </w:r>
            <w:r>
              <w:rPr>
                <w:rFonts w:ascii="仿宋_GB2312" w:hAnsi="仿宋_GB2312" w:cs="仿宋_GB2312" w:eastAsia="仿宋_GB2312"/>
                <w:sz w:val="28"/>
                <w:b/>
              </w:rPr>
              <w:t>无人机</w:t>
            </w:r>
            <w:r>
              <w:rPr>
                <w:rFonts w:ascii="仿宋_GB2312" w:hAnsi="仿宋_GB2312" w:cs="仿宋_GB2312" w:eastAsia="仿宋_GB2312"/>
                <w:sz w:val="28"/>
                <w:b/>
              </w:rPr>
              <w:t>防</w:t>
            </w:r>
            <w:r>
              <w:rPr>
                <w:rFonts w:ascii="仿宋_GB2312" w:hAnsi="仿宋_GB2312" w:cs="仿宋_GB2312" w:eastAsia="仿宋_GB2312"/>
                <w:sz w:val="28"/>
                <w:b/>
              </w:rPr>
              <w:t>治技术措施</w:t>
            </w:r>
          </w:p>
          <w:p>
            <w:pPr>
              <w:pStyle w:val="null3"/>
              <w:ind w:firstLine="560"/>
              <w:jc w:val="both"/>
            </w:pPr>
            <w:r>
              <w:rPr>
                <w:rFonts w:ascii="仿宋_GB2312" w:hAnsi="仿宋_GB2312" w:cs="仿宋_GB2312" w:eastAsia="仿宋_GB2312"/>
                <w:sz w:val="28"/>
              </w:rPr>
              <w:t>a.无人机租赁：选用单架次</w:t>
            </w:r>
            <w:r>
              <w:rPr>
                <w:rFonts w:ascii="仿宋_GB2312" w:hAnsi="仿宋_GB2312" w:cs="仿宋_GB2312" w:eastAsia="仿宋_GB2312"/>
                <w:sz w:val="28"/>
              </w:rPr>
              <w:t>载药量不低于</w:t>
            </w:r>
            <w:r>
              <w:rPr>
                <w:rFonts w:ascii="仿宋_GB2312" w:hAnsi="仿宋_GB2312" w:cs="仿宋_GB2312" w:eastAsia="仿宋_GB2312"/>
                <w:sz w:val="28"/>
              </w:rPr>
              <w:t>30-50</w:t>
            </w:r>
            <w:r>
              <w:rPr>
                <w:rFonts w:ascii="仿宋_GB2312" w:hAnsi="仿宋_GB2312" w:cs="仿宋_GB2312" w:eastAsia="仿宋_GB2312"/>
                <w:sz w:val="28"/>
              </w:rPr>
              <w:t>L的植保无</w:t>
            </w:r>
            <w:r>
              <w:rPr>
                <w:rFonts w:ascii="仿宋_GB2312" w:hAnsi="仿宋_GB2312" w:cs="仿宋_GB2312" w:eastAsia="仿宋_GB2312"/>
                <w:sz w:val="28"/>
              </w:rPr>
              <w:t>人机（如大疆</w:t>
            </w:r>
            <w:r>
              <w:rPr>
                <w:rFonts w:ascii="仿宋_GB2312" w:hAnsi="仿宋_GB2312" w:cs="仿宋_GB2312" w:eastAsia="仿宋_GB2312"/>
                <w:sz w:val="28"/>
              </w:rPr>
              <w:t>T系列等），具备RTK高精度定位和地形跟随功能。</w:t>
            </w:r>
          </w:p>
          <w:p>
            <w:pPr>
              <w:pStyle w:val="null3"/>
              <w:ind w:firstLine="560"/>
              <w:jc w:val="both"/>
            </w:pPr>
            <w:r>
              <w:rPr>
                <w:rFonts w:ascii="仿宋_GB2312" w:hAnsi="仿宋_GB2312" w:cs="仿宋_GB2312" w:eastAsia="仿宋_GB2312"/>
                <w:sz w:val="28"/>
              </w:rPr>
              <w:t>b.</w:t>
            </w:r>
            <w:r>
              <w:rPr>
                <w:rFonts w:ascii="仿宋_GB2312" w:hAnsi="仿宋_GB2312" w:cs="仿宋_GB2312" w:eastAsia="仿宋_GB2312"/>
                <w:sz w:val="28"/>
              </w:rPr>
              <w:t>作业技术参数</w:t>
            </w:r>
            <w:r>
              <w:rPr>
                <w:rFonts w:ascii="仿宋_GB2312" w:hAnsi="仿宋_GB2312" w:cs="仿宋_GB2312" w:eastAsia="仿宋_GB2312"/>
                <w:sz w:val="28"/>
              </w:rPr>
              <w:t>：飞行高度树冠上方</w:t>
            </w:r>
            <w:r>
              <w:rPr>
                <w:rFonts w:ascii="仿宋_GB2312" w:hAnsi="仿宋_GB2312" w:cs="仿宋_GB2312" w:eastAsia="仿宋_GB2312"/>
                <w:sz w:val="28"/>
              </w:rPr>
              <w:t>2.5-4米，速度8-12米/秒，亩用药液量1.2-1.5升，</w:t>
            </w:r>
            <w:r>
              <w:rPr>
                <w:rFonts w:ascii="仿宋_GB2312" w:hAnsi="仿宋_GB2312" w:cs="仿宋_GB2312" w:eastAsia="仿宋_GB2312"/>
                <w:sz w:val="28"/>
              </w:rPr>
              <w:t>喷幅宽度</w:t>
            </w:r>
            <w:r>
              <w:rPr>
                <w:rFonts w:ascii="仿宋_GB2312" w:hAnsi="仿宋_GB2312" w:cs="仿宋_GB2312" w:eastAsia="仿宋_GB2312"/>
                <w:sz w:val="28"/>
              </w:rPr>
              <w:t>4-6米（单架次）</w:t>
            </w:r>
            <w:r>
              <w:rPr>
                <w:rFonts w:ascii="仿宋_GB2312" w:hAnsi="仿宋_GB2312" w:cs="仿宋_GB2312" w:eastAsia="仿宋_GB2312"/>
                <w:sz w:val="28"/>
              </w:rPr>
              <w:t>，确保雾滴穿透树冠层，</w:t>
            </w:r>
            <w:r>
              <w:rPr>
                <w:rFonts w:ascii="仿宋_GB2312" w:hAnsi="仿宋_GB2312" w:cs="仿宋_GB2312" w:eastAsia="仿宋_GB2312"/>
                <w:sz w:val="28"/>
              </w:rPr>
              <w:t>飞行轨迹与地形贴合度需超过</w:t>
            </w:r>
            <w:r>
              <w:rPr>
                <w:rFonts w:ascii="仿宋_GB2312" w:hAnsi="仿宋_GB2312" w:cs="仿宋_GB2312" w:eastAsia="仿宋_GB2312"/>
                <w:sz w:val="28"/>
              </w:rPr>
              <w:t>95%。</w:t>
            </w:r>
          </w:p>
          <w:p>
            <w:pPr>
              <w:pStyle w:val="null3"/>
              <w:ind w:firstLine="560"/>
              <w:jc w:val="both"/>
            </w:pPr>
            <w:r>
              <w:rPr>
                <w:rFonts w:ascii="仿宋_GB2312" w:hAnsi="仿宋_GB2312" w:cs="仿宋_GB2312" w:eastAsia="仿宋_GB2312"/>
                <w:sz w:val="28"/>
              </w:rPr>
              <w:t>c</w:t>
            </w:r>
            <w:r>
              <w:rPr>
                <w:rFonts w:ascii="仿宋_GB2312" w:hAnsi="仿宋_GB2312" w:cs="仿宋_GB2312" w:eastAsia="仿宋_GB2312"/>
                <w:sz w:val="28"/>
              </w:rPr>
              <w:t>.药剂选择与配制</w:t>
            </w:r>
            <w:r>
              <w:rPr>
                <w:rFonts w:ascii="仿宋_GB2312" w:hAnsi="仿宋_GB2312" w:cs="仿宋_GB2312" w:eastAsia="仿宋_GB2312"/>
                <w:sz w:val="28"/>
              </w:rPr>
              <w:t>：</w:t>
            </w:r>
            <w:r>
              <w:rPr>
                <w:rFonts w:ascii="仿宋_GB2312" w:hAnsi="仿宋_GB2312" w:cs="仿宋_GB2312" w:eastAsia="仿宋_GB2312"/>
                <w:sz w:val="28"/>
              </w:rPr>
              <w:t>选用高效、低毒、</w:t>
            </w:r>
            <w:r>
              <w:rPr>
                <w:rFonts w:ascii="仿宋_GB2312" w:hAnsi="仿宋_GB2312" w:cs="仿宋_GB2312" w:eastAsia="仿宋_GB2312"/>
                <w:sz w:val="28"/>
              </w:rPr>
              <w:t>广谱杀虫剂</w:t>
            </w:r>
            <w:r>
              <w:rPr>
                <w:rFonts w:ascii="仿宋_GB2312" w:hAnsi="仿宋_GB2312" w:cs="仿宋_GB2312" w:eastAsia="仿宋_GB2312"/>
                <w:sz w:val="28"/>
              </w:rPr>
              <w:t>的无公害农药，如</w:t>
            </w:r>
            <w:r>
              <w:rPr>
                <w:rFonts w:ascii="仿宋_GB2312" w:hAnsi="仿宋_GB2312" w:cs="仿宋_GB2312" w:eastAsia="仿宋_GB2312"/>
                <w:sz w:val="28"/>
              </w:rPr>
              <w:t>高效</w:t>
            </w:r>
            <w:r>
              <w:rPr>
                <w:rFonts w:ascii="仿宋_GB2312" w:hAnsi="仿宋_GB2312" w:cs="仿宋_GB2312" w:eastAsia="仿宋_GB2312"/>
                <w:sz w:val="28"/>
              </w:rPr>
              <w:t>氯氰菊酯微囊悬浮剂</w:t>
            </w:r>
            <w:r>
              <w:rPr>
                <w:rFonts w:ascii="仿宋_GB2312" w:hAnsi="仿宋_GB2312" w:cs="仿宋_GB2312" w:eastAsia="仿宋_GB2312"/>
                <w:sz w:val="28"/>
              </w:rPr>
              <w:t>、</w:t>
            </w:r>
            <w:r>
              <w:rPr>
                <w:rFonts w:ascii="仿宋_GB2312" w:hAnsi="仿宋_GB2312" w:cs="仿宋_GB2312" w:eastAsia="仿宋_GB2312"/>
                <w:sz w:val="28"/>
              </w:rPr>
              <w:t>噻虫嗪、白僵菌</w:t>
            </w:r>
            <w:r>
              <w:rPr>
                <w:rFonts w:ascii="仿宋_GB2312" w:hAnsi="仿宋_GB2312" w:cs="仿宋_GB2312" w:eastAsia="仿宋_GB2312"/>
                <w:sz w:val="28"/>
              </w:rPr>
              <w:t>等</w:t>
            </w:r>
            <w:r>
              <w:rPr>
                <w:rFonts w:ascii="仿宋_GB2312" w:hAnsi="仿宋_GB2312" w:cs="仿宋_GB2312" w:eastAsia="仿宋_GB2312"/>
                <w:sz w:val="28"/>
              </w:rPr>
              <w:t>，</w:t>
            </w:r>
            <w:r>
              <w:rPr>
                <w:rFonts w:ascii="仿宋_GB2312" w:hAnsi="仿宋_GB2312" w:cs="仿宋_GB2312" w:eastAsia="仿宋_GB2312"/>
                <w:sz w:val="28"/>
              </w:rPr>
              <w:t>所用农药必须具备</w:t>
            </w:r>
            <w:r>
              <w:rPr>
                <w:rFonts w:ascii="仿宋_GB2312" w:hAnsi="仿宋_GB2312" w:cs="仿宋_GB2312" w:eastAsia="仿宋_GB2312"/>
                <w:sz w:val="28"/>
              </w:rPr>
              <w:t>"农药登记证、农药生产许可证、农药标准"三证齐全。</w:t>
            </w:r>
            <w:r>
              <w:rPr>
                <w:rFonts w:ascii="仿宋_GB2312" w:hAnsi="仿宋_GB2312" w:cs="仿宋_GB2312" w:eastAsia="仿宋_GB2312"/>
                <w:sz w:val="28"/>
              </w:rPr>
              <w:t>配制采用</w:t>
            </w:r>
            <w:r>
              <w:rPr>
                <w:rFonts w:ascii="仿宋_GB2312" w:hAnsi="仿宋_GB2312" w:cs="仿宋_GB2312" w:eastAsia="仿宋_GB2312"/>
                <w:sz w:val="28"/>
              </w:rPr>
              <w:t>含量</w:t>
            </w:r>
            <w:r>
              <w:rPr>
                <w:rFonts w:ascii="仿宋_GB2312" w:hAnsi="仿宋_GB2312" w:cs="仿宋_GB2312" w:eastAsia="仿宋_GB2312"/>
                <w:sz w:val="28"/>
              </w:rPr>
              <w:t>10%高效氯氟氰菊酯</w:t>
            </w:r>
            <w:r>
              <w:rPr>
                <w:rFonts w:ascii="仿宋_GB2312" w:hAnsi="仿宋_GB2312" w:cs="仿宋_GB2312" w:eastAsia="仿宋_GB2312"/>
                <w:sz w:val="28"/>
              </w:rPr>
              <w:t>+白僵菌20</w:t>
            </w:r>
            <w:r>
              <w:rPr>
                <w:rFonts w:ascii="仿宋_GB2312" w:hAnsi="仿宋_GB2312" w:cs="仿宋_GB2312" w:eastAsia="仿宋_GB2312"/>
                <w:sz w:val="28"/>
              </w:rPr>
              <w:t>00倍液</w:t>
            </w:r>
            <w:r>
              <w:rPr>
                <w:rFonts w:ascii="仿宋_GB2312" w:hAnsi="仿宋_GB2312" w:cs="仿宋_GB2312" w:eastAsia="仿宋_GB2312"/>
                <w:sz w:val="28"/>
              </w:rPr>
              <w:t>，或</w:t>
            </w:r>
            <w:r>
              <w:rPr>
                <w:rFonts w:ascii="仿宋_GB2312" w:hAnsi="仿宋_GB2312" w:cs="仿宋_GB2312" w:eastAsia="仿宋_GB2312"/>
                <w:sz w:val="28"/>
              </w:rPr>
              <w:t>1500倍液的噻虫嗪，均</w:t>
            </w:r>
            <w:r>
              <w:rPr>
                <w:rFonts w:ascii="仿宋_GB2312" w:hAnsi="仿宋_GB2312" w:cs="仿宋_GB2312" w:eastAsia="仿宋_GB2312"/>
                <w:sz w:val="28"/>
              </w:rPr>
              <w:t>可作为食叶害虫的防治</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d</w:t>
            </w:r>
            <w:r>
              <w:rPr>
                <w:rFonts w:ascii="仿宋_GB2312" w:hAnsi="仿宋_GB2312" w:cs="仿宋_GB2312" w:eastAsia="仿宋_GB2312"/>
                <w:sz w:val="28"/>
              </w:rPr>
              <w:t>.作业时间要求</w:t>
            </w:r>
            <w:r>
              <w:rPr>
                <w:rFonts w:ascii="仿宋_GB2312" w:hAnsi="仿宋_GB2312" w:cs="仿宋_GB2312" w:eastAsia="仿宋_GB2312"/>
                <w:sz w:val="28"/>
              </w:rPr>
              <w:t>：</w:t>
            </w:r>
            <w:r>
              <w:rPr>
                <w:rFonts w:ascii="仿宋_GB2312" w:hAnsi="仿宋_GB2312" w:cs="仿宋_GB2312" w:eastAsia="仿宋_GB2312"/>
                <w:sz w:val="28"/>
              </w:rPr>
              <w:t>根据虫情监测结果确定</w:t>
            </w:r>
            <w:r>
              <w:rPr>
                <w:rFonts w:ascii="仿宋_GB2312" w:hAnsi="仿宋_GB2312" w:cs="仿宋_GB2312" w:eastAsia="仿宋_GB2312"/>
                <w:sz w:val="28"/>
              </w:rPr>
              <w:t>防治时机</w:t>
            </w:r>
            <w:r>
              <w:rPr>
                <w:rFonts w:ascii="仿宋_GB2312" w:hAnsi="仿宋_GB2312" w:cs="仿宋_GB2312" w:eastAsia="仿宋_GB2312"/>
                <w:sz w:val="28"/>
              </w:rPr>
              <w:t>，一般选择低龄幼虫期或成虫羽化高峰期</w:t>
            </w:r>
            <w:r>
              <w:rPr>
                <w:rFonts w:ascii="仿宋_GB2312" w:hAnsi="仿宋_GB2312" w:cs="仿宋_GB2312" w:eastAsia="仿宋_GB2312"/>
                <w:sz w:val="28"/>
              </w:rPr>
              <w:t>。</w:t>
            </w:r>
            <w:r>
              <w:rPr>
                <w:rFonts w:ascii="仿宋_GB2312" w:hAnsi="仿宋_GB2312" w:cs="仿宋_GB2312" w:eastAsia="仿宋_GB2312"/>
                <w:sz w:val="28"/>
              </w:rPr>
              <w:t>作业时间</w:t>
            </w:r>
            <w:r>
              <w:rPr>
                <w:rFonts w:ascii="仿宋_GB2312" w:hAnsi="仿宋_GB2312" w:cs="仿宋_GB2312" w:eastAsia="仿宋_GB2312"/>
                <w:sz w:val="28"/>
              </w:rPr>
              <w:t>于</w:t>
            </w:r>
            <w:r>
              <w:rPr>
                <w:rFonts w:ascii="仿宋_GB2312" w:hAnsi="仿宋_GB2312" w:cs="仿宋_GB2312" w:eastAsia="仿宋_GB2312"/>
                <w:sz w:val="28"/>
              </w:rPr>
              <w:t>上午</w:t>
            </w:r>
            <w:r>
              <w:rPr>
                <w:rFonts w:ascii="仿宋_GB2312" w:hAnsi="仿宋_GB2312" w:cs="仿宋_GB2312" w:eastAsia="仿宋_GB2312"/>
                <w:sz w:val="28"/>
              </w:rPr>
              <w:t>8-10点（露水干后）、下午5-7点（日落前后），避开高温强光时段（中午）和阴雨大风天气</w:t>
            </w:r>
            <w:r>
              <w:rPr>
                <w:rFonts w:ascii="仿宋_GB2312" w:hAnsi="仿宋_GB2312" w:cs="仿宋_GB2312" w:eastAsia="仿宋_GB2312"/>
                <w:sz w:val="28"/>
              </w:rPr>
              <w:t>，</w:t>
            </w:r>
            <w:r>
              <w:rPr>
                <w:rFonts w:ascii="仿宋_GB2312" w:hAnsi="仿宋_GB2312" w:cs="仿宋_GB2312" w:eastAsia="仿宋_GB2312"/>
                <w:sz w:val="28"/>
              </w:rPr>
              <w:t>风速小于</w:t>
            </w:r>
            <w:r>
              <w:rPr>
                <w:rFonts w:ascii="仿宋_GB2312" w:hAnsi="仿宋_GB2312" w:cs="仿宋_GB2312" w:eastAsia="仿宋_GB2312"/>
                <w:sz w:val="28"/>
              </w:rPr>
              <w:t>3级（&lt;5.4m/s），气温15-30℃，</w:t>
            </w:r>
            <w:r>
              <w:rPr>
                <w:rFonts w:ascii="仿宋_GB2312" w:hAnsi="仿宋_GB2312" w:cs="仿宋_GB2312" w:eastAsia="仿宋_GB2312"/>
                <w:sz w:val="28"/>
              </w:rPr>
              <w:t>施药后两小时</w:t>
            </w:r>
            <w:r>
              <w:rPr>
                <w:rFonts w:ascii="仿宋_GB2312" w:hAnsi="仿宋_GB2312" w:cs="仿宋_GB2312" w:eastAsia="仿宋_GB2312"/>
                <w:sz w:val="28"/>
              </w:rPr>
              <w:t>无降雨。</w:t>
            </w:r>
          </w:p>
          <w:p>
            <w:pPr>
              <w:pStyle w:val="null3"/>
              <w:ind w:firstLine="560"/>
              <w:jc w:val="both"/>
            </w:pPr>
            <w:r>
              <w:rPr>
                <w:rFonts w:ascii="仿宋_GB2312" w:hAnsi="仿宋_GB2312" w:cs="仿宋_GB2312" w:eastAsia="仿宋_GB2312"/>
                <w:sz w:val="28"/>
              </w:rPr>
              <w:t>e</w:t>
            </w:r>
            <w:r>
              <w:rPr>
                <w:rFonts w:ascii="仿宋_GB2312" w:hAnsi="仿宋_GB2312" w:cs="仿宋_GB2312" w:eastAsia="仿宋_GB2312"/>
                <w:sz w:val="28"/>
              </w:rPr>
              <w:t>.飞防作业监管</w:t>
            </w:r>
            <w:r>
              <w:rPr>
                <w:rFonts w:ascii="仿宋_GB2312" w:hAnsi="仿宋_GB2312" w:cs="仿宋_GB2312" w:eastAsia="仿宋_GB2312"/>
                <w:sz w:val="28"/>
              </w:rPr>
              <w:t>：</w:t>
            </w:r>
            <w:r>
              <w:rPr>
                <w:rFonts w:ascii="仿宋_GB2312" w:hAnsi="仿宋_GB2312" w:cs="仿宋_GB2312" w:eastAsia="仿宋_GB2312"/>
                <w:sz w:val="28"/>
              </w:rPr>
              <w:t>作业无人机须</w:t>
            </w:r>
            <w:r>
              <w:rPr>
                <w:rFonts w:ascii="仿宋_GB2312" w:hAnsi="仿宋_GB2312" w:cs="仿宋_GB2312" w:eastAsia="仿宋_GB2312"/>
                <w:sz w:val="28"/>
              </w:rPr>
              <w:t>按规定向有关部门报备，并</w:t>
            </w:r>
            <w:r>
              <w:rPr>
                <w:rFonts w:ascii="仿宋_GB2312" w:hAnsi="仿宋_GB2312" w:cs="仿宋_GB2312" w:eastAsia="仿宋_GB2312"/>
                <w:sz w:val="28"/>
              </w:rPr>
              <w:t>实时记录飞行轨迹，生成可追溯的航迹图。漏防率控制在</w:t>
            </w:r>
            <w:r>
              <w:rPr>
                <w:rFonts w:ascii="仿宋_GB2312" w:hAnsi="仿宋_GB2312" w:cs="仿宋_GB2312" w:eastAsia="仿宋_GB2312"/>
                <w:sz w:val="28"/>
              </w:rPr>
              <w:t>3%以内，超过此范围须进行补防。技术人员跟班作业，填写飞防作业记录表。</w:t>
            </w:r>
          </w:p>
          <w:p>
            <w:pPr>
              <w:pStyle w:val="null3"/>
              <w:ind w:firstLine="562"/>
              <w:jc w:val="both"/>
            </w:pPr>
            <w:r>
              <w:rPr>
                <w:rFonts w:ascii="仿宋_GB2312" w:hAnsi="仿宋_GB2312" w:cs="仿宋_GB2312" w:eastAsia="仿宋_GB2312"/>
                <w:sz w:val="28"/>
                <w:b/>
              </w:rPr>
              <w:t>6.</w:t>
            </w:r>
            <w:r>
              <w:rPr>
                <w:rFonts w:ascii="仿宋_GB2312" w:hAnsi="仿宋_GB2312" w:cs="仿宋_GB2312" w:eastAsia="仿宋_GB2312"/>
                <w:sz w:val="28"/>
                <w:b/>
              </w:rPr>
              <w:t>物理防</w:t>
            </w:r>
            <w:r>
              <w:rPr>
                <w:rFonts w:ascii="仿宋_GB2312" w:hAnsi="仿宋_GB2312" w:cs="仿宋_GB2312" w:eastAsia="仿宋_GB2312"/>
                <w:sz w:val="28"/>
                <w:b/>
              </w:rPr>
              <w:t>治</w:t>
            </w:r>
            <w:r>
              <w:rPr>
                <w:rFonts w:ascii="仿宋_GB2312" w:hAnsi="仿宋_GB2312" w:cs="仿宋_GB2312" w:eastAsia="仿宋_GB2312"/>
                <w:sz w:val="28"/>
                <w:b/>
              </w:rPr>
              <w:t>技术措施</w:t>
            </w:r>
          </w:p>
          <w:p>
            <w:pPr>
              <w:pStyle w:val="null3"/>
              <w:ind w:firstLine="560"/>
              <w:jc w:val="both"/>
            </w:pPr>
            <w:r>
              <w:rPr>
                <w:rFonts w:ascii="仿宋_GB2312" w:hAnsi="仿宋_GB2312" w:cs="仿宋_GB2312" w:eastAsia="仿宋_GB2312"/>
                <w:sz w:val="28"/>
              </w:rPr>
              <w:t>a</w:t>
            </w:r>
            <w:r>
              <w:rPr>
                <w:rFonts w:ascii="仿宋_GB2312" w:hAnsi="仿宋_GB2312" w:cs="仿宋_GB2312" w:eastAsia="仿宋_GB2312"/>
                <w:sz w:val="28"/>
              </w:rPr>
              <w:t>.太阳能杀虫灯</w:t>
            </w:r>
            <w:r>
              <w:rPr>
                <w:rFonts w:ascii="仿宋_GB2312" w:hAnsi="仿宋_GB2312" w:cs="仿宋_GB2312" w:eastAsia="仿宋_GB2312"/>
                <w:sz w:val="28"/>
              </w:rPr>
              <w:t>：配置</w:t>
            </w:r>
            <w:r>
              <w:rPr>
                <w:rFonts w:ascii="仿宋_GB2312" w:hAnsi="仿宋_GB2312" w:cs="仿宋_GB2312" w:eastAsia="仿宋_GB2312"/>
                <w:sz w:val="28"/>
              </w:rPr>
              <w:t>25盏内置电池容量为2500-3000mAh的太阳能杀虫灯，可在没有太阳的情况下使用3-5天、接虫桶尺寸120mm*120mm*300mm，布设于</w:t>
            </w:r>
            <w:r>
              <w:rPr>
                <w:rFonts w:ascii="仿宋_GB2312" w:hAnsi="仿宋_GB2312" w:cs="仿宋_GB2312" w:eastAsia="仿宋_GB2312"/>
                <w:sz w:val="28"/>
              </w:rPr>
              <w:t>林缘开阔地带、害虫迁飞通道，距地面高度</w:t>
            </w:r>
            <w:r>
              <w:rPr>
                <w:rFonts w:ascii="仿宋_GB2312" w:hAnsi="仿宋_GB2312" w:cs="仿宋_GB2312" w:eastAsia="仿宋_GB2312"/>
                <w:sz w:val="28"/>
              </w:rPr>
              <w:t>1.5-2米</w:t>
            </w:r>
            <w:r>
              <w:rPr>
                <w:rFonts w:ascii="仿宋_GB2312" w:hAnsi="仿宋_GB2312" w:cs="仿宋_GB2312" w:eastAsia="仿宋_GB2312"/>
                <w:sz w:val="28"/>
              </w:rPr>
              <w:t>，预埋件放形法兰</w:t>
            </w:r>
            <w:r>
              <w:rPr>
                <w:rFonts w:ascii="仿宋_GB2312" w:hAnsi="仿宋_GB2312" w:cs="仿宋_GB2312" w:eastAsia="仿宋_GB2312"/>
                <w:sz w:val="28"/>
              </w:rPr>
              <w:t>160mm*160mm,基坑尺寸长400mm*宽400mm*深度500mm,</w:t>
            </w:r>
            <w:r>
              <w:rPr>
                <w:rFonts w:ascii="仿宋_GB2312" w:hAnsi="仿宋_GB2312" w:cs="仿宋_GB2312" w:eastAsia="仿宋_GB2312"/>
                <w:sz w:val="28"/>
              </w:rPr>
              <w:t>开灯时间</w:t>
            </w:r>
            <w:r>
              <w:rPr>
                <w:rFonts w:ascii="仿宋_GB2312" w:hAnsi="仿宋_GB2312" w:cs="仿宋_GB2312" w:eastAsia="仿宋_GB2312"/>
                <w:sz w:val="28"/>
              </w:rPr>
              <w:t>为</w:t>
            </w:r>
            <w:r>
              <w:rPr>
                <w:rFonts w:ascii="仿宋_GB2312" w:hAnsi="仿宋_GB2312" w:cs="仿宋_GB2312" w:eastAsia="仿宋_GB2312"/>
                <w:sz w:val="28"/>
              </w:rPr>
              <w:t>4-10月，每晚7点至次日5点。</w:t>
            </w:r>
          </w:p>
          <w:p>
            <w:pPr>
              <w:pStyle w:val="null3"/>
              <w:ind w:firstLine="560"/>
              <w:jc w:val="both"/>
            </w:pPr>
            <w:r>
              <w:rPr>
                <w:rFonts w:ascii="仿宋_GB2312" w:hAnsi="仿宋_GB2312" w:cs="仿宋_GB2312" w:eastAsia="仿宋_GB2312"/>
                <w:sz w:val="28"/>
              </w:rPr>
              <w:t>b</w:t>
            </w:r>
            <w:r>
              <w:rPr>
                <w:rFonts w:ascii="仿宋_GB2312" w:hAnsi="仿宋_GB2312" w:cs="仿宋_GB2312" w:eastAsia="仿宋_GB2312"/>
                <w:sz w:val="28"/>
              </w:rPr>
              <w:t>.诱捕器</w:t>
            </w:r>
            <w:r>
              <w:rPr>
                <w:rFonts w:ascii="仿宋_GB2312" w:hAnsi="仿宋_GB2312" w:cs="仿宋_GB2312" w:eastAsia="仿宋_GB2312"/>
                <w:sz w:val="28"/>
              </w:rPr>
              <w:t>：配置</w:t>
            </w:r>
            <w:r>
              <w:rPr>
                <w:rFonts w:ascii="仿宋_GB2312" w:hAnsi="仿宋_GB2312" w:cs="仿宋_GB2312" w:eastAsia="仿宋_GB2312"/>
                <w:sz w:val="28"/>
              </w:rPr>
              <w:t>10套诱捕器（含诱芯），</w:t>
            </w:r>
            <w:r>
              <w:rPr>
                <w:rFonts w:ascii="仿宋_GB2312" w:hAnsi="仿宋_GB2312" w:cs="仿宋_GB2312" w:eastAsia="仿宋_GB2312"/>
                <w:sz w:val="28"/>
              </w:rPr>
              <w:t>布设高度</w:t>
            </w:r>
            <w:r>
              <w:rPr>
                <w:rFonts w:ascii="仿宋_GB2312" w:hAnsi="仿宋_GB2312" w:cs="仿宋_GB2312" w:eastAsia="仿宋_GB2312"/>
                <w:sz w:val="28"/>
              </w:rPr>
              <w:t>1.5米左右。</w:t>
            </w:r>
          </w:p>
          <w:p>
            <w:pPr>
              <w:pStyle w:val="null3"/>
              <w:ind w:firstLine="560"/>
              <w:jc w:val="both"/>
            </w:pPr>
            <w:r>
              <w:rPr>
                <w:rFonts w:ascii="仿宋_GB2312" w:hAnsi="仿宋_GB2312" w:cs="仿宋_GB2312" w:eastAsia="仿宋_GB2312"/>
                <w:sz w:val="28"/>
              </w:rPr>
              <w:t>c</w:t>
            </w:r>
            <w:r>
              <w:rPr>
                <w:rFonts w:ascii="仿宋_GB2312" w:hAnsi="仿宋_GB2312" w:cs="仿宋_GB2312" w:eastAsia="仿宋_GB2312"/>
                <w:sz w:val="28"/>
              </w:rPr>
              <w:t>.粘虫黄板：</w:t>
            </w:r>
            <w:r>
              <w:rPr>
                <w:rFonts w:ascii="仿宋_GB2312" w:hAnsi="仿宋_GB2312" w:cs="仿宋_GB2312" w:eastAsia="仿宋_GB2312"/>
                <w:sz w:val="28"/>
              </w:rPr>
              <w:t>配置</w:t>
            </w:r>
            <w:r>
              <w:rPr>
                <w:rFonts w:ascii="仿宋_GB2312" w:hAnsi="仿宋_GB2312" w:cs="仿宋_GB2312" w:eastAsia="仿宋_GB2312"/>
                <w:sz w:val="28"/>
              </w:rPr>
              <w:t>5000张（1元/张）</w:t>
            </w:r>
            <w:r>
              <w:rPr>
                <w:rFonts w:ascii="仿宋_GB2312" w:hAnsi="仿宋_GB2312" w:cs="仿宋_GB2312" w:eastAsia="仿宋_GB2312"/>
                <w:sz w:val="28"/>
              </w:rPr>
              <w:t>20cm×</w:t>
            </w:r>
            <w:r>
              <w:rPr>
                <w:rFonts w:ascii="仿宋_GB2312" w:hAnsi="仿宋_GB2312" w:cs="仿宋_GB2312" w:eastAsia="仿宋_GB2312"/>
                <w:sz w:val="28"/>
              </w:rPr>
              <w:t>30</w:t>
            </w:r>
            <w:r>
              <w:rPr>
                <w:rFonts w:ascii="仿宋_GB2312" w:hAnsi="仿宋_GB2312" w:cs="仿宋_GB2312" w:eastAsia="仿宋_GB2312"/>
                <w:sz w:val="28"/>
              </w:rPr>
              <w:t>cm双面涂胶</w:t>
            </w:r>
            <w:r>
              <w:rPr>
                <w:rFonts w:ascii="仿宋_GB2312" w:hAnsi="仿宋_GB2312" w:cs="仿宋_GB2312" w:eastAsia="仿宋_GB2312"/>
                <w:sz w:val="28"/>
              </w:rPr>
              <w:t>的粘虫黄板，</w:t>
            </w:r>
            <w:r>
              <w:rPr>
                <w:rFonts w:ascii="仿宋_GB2312" w:hAnsi="仿宋_GB2312" w:cs="仿宋_GB2312" w:eastAsia="仿宋_GB2312"/>
                <w:sz w:val="28"/>
              </w:rPr>
              <w:t>悬挂高度略高于树冠或与枝叶齐平。</w:t>
            </w:r>
          </w:p>
          <w:p>
            <w:pPr>
              <w:pStyle w:val="null3"/>
              <w:ind w:firstLine="562"/>
              <w:jc w:val="both"/>
            </w:pPr>
            <w:r>
              <w:rPr>
                <w:rFonts w:ascii="仿宋_GB2312" w:hAnsi="仿宋_GB2312" w:cs="仿宋_GB2312" w:eastAsia="仿宋_GB2312"/>
                <w:sz w:val="28"/>
                <w:b/>
              </w:rPr>
              <w:t>7.人工喷药</w:t>
            </w:r>
            <w:r>
              <w:rPr>
                <w:rFonts w:ascii="仿宋_GB2312" w:hAnsi="仿宋_GB2312" w:cs="仿宋_GB2312" w:eastAsia="仿宋_GB2312"/>
                <w:sz w:val="28"/>
                <w:b/>
              </w:rPr>
              <w:t>技术措施</w:t>
            </w:r>
          </w:p>
          <w:p>
            <w:pPr>
              <w:pStyle w:val="null3"/>
              <w:ind w:firstLine="560"/>
              <w:jc w:val="both"/>
            </w:pPr>
            <w:r>
              <w:rPr>
                <w:rFonts w:ascii="仿宋_GB2312" w:hAnsi="仿宋_GB2312" w:cs="仿宋_GB2312" w:eastAsia="仿宋_GB2312"/>
                <w:sz w:val="28"/>
              </w:rPr>
              <w:t>a.药品选择：防虫方面采购高效氯氟氰菊酯、溴氰菊酯、噻虫嗪、白僵菌</w:t>
            </w:r>
            <w:r>
              <w:rPr>
                <w:rFonts w:ascii="仿宋_GB2312" w:hAnsi="仿宋_GB2312" w:cs="仿宋_GB2312" w:eastAsia="仿宋_GB2312"/>
                <w:sz w:val="28"/>
              </w:rPr>
              <w:t>等农药，</w:t>
            </w:r>
            <w:r>
              <w:rPr>
                <w:rFonts w:ascii="仿宋_GB2312" w:hAnsi="仿宋_GB2312" w:cs="仿宋_GB2312" w:eastAsia="仿宋_GB2312"/>
                <w:sz w:val="28"/>
              </w:rPr>
              <w:t>4-6月喷</w:t>
            </w:r>
            <w:r>
              <w:rPr>
                <w:rFonts w:ascii="仿宋_GB2312" w:hAnsi="仿宋_GB2312" w:cs="仿宋_GB2312" w:eastAsia="仿宋_GB2312"/>
                <w:sz w:val="28"/>
              </w:rPr>
              <w:t>溴氰菊酯</w:t>
            </w:r>
            <w:r>
              <w:rPr>
                <w:rFonts w:ascii="仿宋_GB2312" w:hAnsi="仿宋_GB2312" w:cs="仿宋_GB2312" w:eastAsia="仿宋_GB2312"/>
                <w:sz w:val="28"/>
              </w:rPr>
              <w:t>2500倍液</w:t>
            </w:r>
            <w:r>
              <w:rPr>
                <w:rFonts w:ascii="仿宋_GB2312" w:hAnsi="仿宋_GB2312" w:cs="仿宋_GB2312" w:eastAsia="仿宋_GB2312"/>
                <w:sz w:val="28"/>
              </w:rPr>
              <w:t>和含量</w:t>
            </w:r>
            <w:r>
              <w:rPr>
                <w:rFonts w:ascii="仿宋_GB2312" w:hAnsi="仿宋_GB2312" w:cs="仿宋_GB2312" w:eastAsia="仿宋_GB2312"/>
                <w:sz w:val="28"/>
              </w:rPr>
              <w:t>10%高效氯氟氰菊酯1500倍液可作为食叶害虫的防治，</w:t>
            </w:r>
            <w:r>
              <w:rPr>
                <w:rFonts w:ascii="仿宋_GB2312" w:hAnsi="仿宋_GB2312" w:cs="仿宋_GB2312" w:eastAsia="仿宋_GB2312"/>
                <w:sz w:val="28"/>
              </w:rPr>
              <w:t>用于局部爆发点应急处理</w:t>
            </w:r>
            <w:r>
              <w:rPr>
                <w:rFonts w:ascii="仿宋_GB2312" w:hAnsi="仿宋_GB2312" w:cs="仿宋_GB2312" w:eastAsia="仿宋_GB2312"/>
                <w:sz w:val="28"/>
              </w:rPr>
              <w:t>，</w:t>
            </w:r>
            <w:r>
              <w:rPr>
                <w:rFonts w:ascii="仿宋_GB2312" w:hAnsi="仿宋_GB2312" w:cs="仿宋_GB2312" w:eastAsia="仿宋_GB2312"/>
                <w:sz w:val="28"/>
              </w:rPr>
              <w:t>配合人工进行点杀补防，解决无人机覆盖盲区或突发虫情。</w:t>
            </w:r>
            <w:r>
              <w:rPr>
                <w:rFonts w:ascii="仿宋_GB2312" w:hAnsi="仿宋_GB2312" w:cs="仿宋_GB2312" w:eastAsia="仿宋_GB2312"/>
                <w:sz w:val="28"/>
              </w:rPr>
              <w:t>防炭疽病、枯枝病和褐斑病主要采用</w:t>
            </w:r>
            <w:r>
              <w:rPr>
                <w:rFonts w:ascii="仿宋_GB2312" w:hAnsi="仿宋_GB2312" w:cs="仿宋_GB2312" w:eastAsia="仿宋_GB2312"/>
                <w:sz w:val="28"/>
              </w:rPr>
              <w:t>50%甲基托布津、多菌灵或70%消菌灵可湿性粉剂800-1000倍液喷雾2-3次。</w:t>
            </w:r>
          </w:p>
          <w:p>
            <w:pPr>
              <w:pStyle w:val="null3"/>
              <w:spacing w:before="60"/>
              <w:ind w:firstLine="560"/>
              <w:jc w:val="both"/>
            </w:pPr>
            <w:r>
              <w:rPr>
                <w:rFonts w:ascii="仿宋_GB2312" w:hAnsi="仿宋_GB2312" w:cs="仿宋_GB2312" w:eastAsia="仿宋_GB2312"/>
                <w:sz w:val="28"/>
              </w:rPr>
              <w:t>b.具体操作技术：对于天牛、透翅蛾等蛀干害虫危害的中低矮经济林可通过使用背负式喷雾器（容量16L-20L）人工喷药防治，需重点喷施树干基部至主枝分叉处，直至药液流淌湿润树皮裂缝；对于树体较高、集中连片水源较远的区域，使用无人机喷施农药。</w:t>
            </w:r>
          </w:p>
          <w:p>
            <w:pPr>
              <w:pStyle w:val="null3"/>
              <w:spacing w:before="60"/>
              <w:ind w:firstLine="560"/>
              <w:jc w:val="both"/>
            </w:pPr>
            <w:r>
              <w:rPr>
                <w:rFonts w:ascii="仿宋_GB2312" w:hAnsi="仿宋_GB2312" w:cs="仿宋_GB2312" w:eastAsia="仿宋_GB2312"/>
                <w:sz w:val="28"/>
              </w:rPr>
              <w:t>c</w:t>
            </w:r>
            <w:r>
              <w:rPr>
                <w:rFonts w:ascii="仿宋_GB2312" w:hAnsi="仿宋_GB2312" w:cs="仿宋_GB2312" w:eastAsia="仿宋_GB2312"/>
                <w:sz w:val="28"/>
              </w:rPr>
              <w:t>.作业时间要求</w:t>
            </w:r>
            <w:r>
              <w:rPr>
                <w:rFonts w:ascii="仿宋_GB2312" w:hAnsi="仿宋_GB2312" w:cs="仿宋_GB2312" w:eastAsia="仿宋_GB2312"/>
                <w:sz w:val="28"/>
              </w:rPr>
              <w:t>：</w:t>
            </w:r>
            <w:r>
              <w:rPr>
                <w:rFonts w:ascii="仿宋_GB2312" w:hAnsi="仿宋_GB2312" w:cs="仿宋_GB2312" w:eastAsia="仿宋_GB2312"/>
                <w:sz w:val="28"/>
              </w:rPr>
              <w:t>根据虫情监测结果确定</w:t>
            </w:r>
            <w:r>
              <w:rPr>
                <w:rFonts w:ascii="仿宋_GB2312" w:hAnsi="仿宋_GB2312" w:cs="仿宋_GB2312" w:eastAsia="仿宋_GB2312"/>
                <w:sz w:val="28"/>
              </w:rPr>
              <w:t>防治时机</w:t>
            </w:r>
            <w:r>
              <w:rPr>
                <w:rFonts w:ascii="仿宋_GB2312" w:hAnsi="仿宋_GB2312" w:cs="仿宋_GB2312" w:eastAsia="仿宋_GB2312"/>
                <w:sz w:val="28"/>
              </w:rPr>
              <w:t>，一般选择害虫低龄幼虫期（抗药性弱）和病害初发期。</w:t>
            </w:r>
          </w:p>
          <w:p>
            <w:pPr>
              <w:pStyle w:val="null3"/>
              <w:spacing w:before="60"/>
              <w:ind w:firstLine="562"/>
              <w:jc w:val="both"/>
            </w:pPr>
            <w:r>
              <w:rPr>
                <w:rFonts w:ascii="仿宋_GB2312" w:hAnsi="仿宋_GB2312" w:cs="仿宋_GB2312" w:eastAsia="仿宋_GB2312"/>
                <w:sz w:val="28"/>
                <w:b/>
              </w:rPr>
              <w:t>8.防治技术要求</w:t>
            </w:r>
          </w:p>
          <w:p>
            <w:pPr>
              <w:pStyle w:val="null3"/>
              <w:spacing w:before="60"/>
              <w:ind w:firstLine="560"/>
              <w:jc w:val="both"/>
            </w:pPr>
            <w:r>
              <w:rPr>
                <w:rFonts w:ascii="仿宋_GB2312" w:hAnsi="仿宋_GB2312" w:cs="仿宋_GB2312" w:eastAsia="仿宋_GB2312"/>
                <w:sz w:val="28"/>
              </w:rPr>
              <w:t>一是推广绿色防控技术，开展物理与生物防治相结合：在虫害高发区，推广使用杀虫灯、粘虫黄板、诱捕器等物理防虫措施。同时进行化学用药防治，指导林农精准掌握防治时机，选用高效、低毒、低残留的环境友好型农药，严禁使用国家明令禁止的农药，确保林产品农残达标。组建专业应急防治队伍，对突发性、暴发性病虫害实现快速响应与有效处置。</w:t>
            </w:r>
          </w:p>
          <w:p>
            <w:pPr>
              <w:pStyle w:val="null3"/>
              <w:spacing w:before="60"/>
              <w:ind w:firstLine="560"/>
              <w:jc w:val="both"/>
            </w:pPr>
            <w:r>
              <w:rPr>
                <w:rFonts w:ascii="仿宋_GB2312" w:hAnsi="仿宋_GB2312" w:cs="仿宋_GB2312" w:eastAsia="仿宋_GB2312"/>
                <w:sz w:val="28"/>
              </w:rPr>
              <w:t>二是加强队伍建设与培训：以镇街为单位，对基层林业技术人员、护林员和种植大户开展病虫害识别、监测调查方法、绿色防控技术等专题培训，提升一线人员的实战能力。</w:t>
            </w:r>
          </w:p>
          <w:p>
            <w:pPr>
              <w:pStyle w:val="null3"/>
              <w:spacing w:before="60"/>
              <w:ind w:firstLine="560"/>
              <w:jc w:val="both"/>
            </w:pPr>
            <w:r>
              <w:rPr>
                <w:rFonts w:ascii="仿宋_GB2312" w:hAnsi="仿宋_GB2312" w:cs="仿宋_GB2312" w:eastAsia="仿宋_GB2312"/>
                <w:sz w:val="28"/>
              </w:rPr>
              <w:t>三是做好施工安全防护：注重人员防护，防治作业人员须穿戴防护服、口罩、手套；做好养殖避让，提前告知养蜂、养蚕户，划定避让区或临时搬迁；注意环境安全，远离水源地、居民区作业，废液妥善处理。</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color w:val="000000"/>
              </w:rPr>
              <w:t>一、对略阳县白水江镇</w:t>
            </w:r>
            <w:r>
              <w:rPr>
                <w:rFonts w:ascii="仿宋_GB2312" w:hAnsi="仿宋_GB2312" w:cs="仿宋_GB2312" w:eastAsia="仿宋_GB2312"/>
                <w:sz w:val="28"/>
                <w:color w:val="000000"/>
              </w:rPr>
              <w:t>6个村303个小班（封家坝村、权力村、林家山村、小河村、甘溪沟村、大沙坝村）的松材线虫病疫木除治采取三年绩效承包的施工监理，按照春秋对白水江镇现场普查并测算三年增长的总株数为本次松材线虫病疫木除治三年绩效承包的计价依据，在实际施工中必须保证对每年度项目区范围内的病死（濒死、枯死、因灾致死）松树疫木严格按照《松材线虫病防治技术方案（2024年版）》应除尽除，确保无枯死松树和疫木进行完全伐除，达到一次承包效益最大化。以白水江镇2025年秋季普查和结合实际核查对三年疑似发生枯死、濒死松树核定为19689株，将其折算分解到域内303个松林小班内的16458.15亩松林(最新全县林草湿综合监测数据)，将松林面积确定为绩效承包疫木除治数量，2027年5月全部除治处理，2028年对该镇域新发生死亡松树全面除治，到2029年实现该镇域内无枯死松树，巩固除治成果，确保枯死松树除治不反弹。</w:t>
            </w:r>
          </w:p>
          <w:p>
            <w:pPr>
              <w:pStyle w:val="null3"/>
              <w:ind w:firstLine="560"/>
              <w:jc w:val="both"/>
            </w:pPr>
            <w:r>
              <w:rPr>
                <w:rFonts w:ascii="仿宋_GB2312" w:hAnsi="仿宋_GB2312" w:cs="仿宋_GB2312" w:eastAsia="仿宋_GB2312"/>
                <w:sz w:val="28"/>
                <w:color w:val="000000"/>
              </w:rPr>
              <w:t>派驻有相关工程监理资质的监理工程师对</w:t>
            </w:r>
            <w:r>
              <w:rPr>
                <w:rFonts w:ascii="仿宋_GB2312" w:hAnsi="仿宋_GB2312" w:cs="仿宋_GB2312" w:eastAsia="仿宋_GB2312"/>
                <w:sz w:val="28"/>
                <w:color w:val="000000"/>
              </w:rPr>
              <w:t>涉及松材线虫病疫木除治采取三年绩效承包全程跟班监理，按照本次实施方案或作业设计要求，前期在建设单位的安排下对方案中确定的区域、小班进行核实。对开工条件及中标单位施工准备情况进行审查、签发开工许可。后期全程严格控制施工工序，实行工序交接检验。按照《松材线虫病防治技术方案（</w:t>
            </w:r>
            <w:r>
              <w:rPr>
                <w:rFonts w:ascii="仿宋_GB2312" w:hAnsi="仿宋_GB2312" w:cs="仿宋_GB2312" w:eastAsia="仿宋_GB2312"/>
                <w:sz w:val="28"/>
                <w:color w:val="000000"/>
              </w:rPr>
              <w:t>2024年版）》要求执行，对松材线虫病疫木除治等关键环节，采取旁站式监理，发现问题及时要求整改。保留全程印证资料备查。</w:t>
            </w:r>
          </w:p>
          <w:p>
            <w:pPr>
              <w:pStyle w:val="null3"/>
              <w:numPr>
                <w:ilvl w:val="0"/>
                <w:numId w:val="1"/>
              </w:numPr>
              <w:jc w:val="both"/>
            </w:pPr>
            <w:r>
              <w:rPr>
                <w:rFonts w:ascii="仿宋_GB2312" w:hAnsi="仿宋_GB2312" w:cs="仿宋_GB2312" w:eastAsia="仿宋_GB2312"/>
                <w:sz w:val="28"/>
                <w:color w:val="000000"/>
              </w:rPr>
              <w:t>（监理）以</w:t>
            </w:r>
            <w:r>
              <w:rPr>
                <w:rFonts w:ascii="仿宋_GB2312" w:hAnsi="仿宋_GB2312" w:cs="仿宋_GB2312" w:eastAsia="仿宋_GB2312"/>
                <w:sz w:val="28"/>
                <w:color w:val="000000"/>
              </w:rPr>
              <w:t>2025年冬季除治后，在日常监测中新发现松材线虫病枯死松树和疑似松材线虫病枯死（濒死）松树约6250株，其中：五龙洞镇1000株、金家河镇（345国道沿线和金史路沿线）1300株、黑河镇高速公路沿线1550株、硖口驿镇345国道沿线2400株。将以上四个镇的松林小班确定为“即死即清”除治区域，开展除治处理，达到2026年秋季普查前伐区内无枯死松树的目标、巩固全县疫区拔除成果，疫情不反弹。</w:t>
            </w:r>
          </w:p>
          <w:p>
            <w:pPr>
              <w:pStyle w:val="null3"/>
              <w:ind w:firstLine="560"/>
              <w:jc w:val="both"/>
            </w:pPr>
            <w:r>
              <w:rPr>
                <w:rFonts w:ascii="仿宋_GB2312" w:hAnsi="仿宋_GB2312" w:cs="仿宋_GB2312" w:eastAsia="仿宋_GB2312"/>
                <w:sz w:val="28"/>
                <w:color w:val="000000"/>
              </w:rPr>
              <w:t>（监理）对涉及</w:t>
            </w:r>
            <w:r>
              <w:rPr>
                <w:rFonts w:ascii="仿宋_GB2312" w:hAnsi="仿宋_GB2312" w:cs="仿宋_GB2312" w:eastAsia="仿宋_GB2312"/>
                <w:sz w:val="28"/>
                <w:color w:val="000000"/>
              </w:rPr>
              <w:t>“即死即清”除治全程跟班监理，按照本次实施方案或作业设计要求，前期在建设单位的安排下对方案中确定的区域、小班进行核实。对开工条件及中标单位施工准备情况进行审查、签发开工许可。后期全程严格控制施工工序，实行工序交接检验。</w:t>
            </w:r>
            <w:r>
              <w:rPr>
                <w:rFonts w:ascii="仿宋_GB2312" w:hAnsi="仿宋_GB2312" w:cs="仿宋_GB2312" w:eastAsia="仿宋_GB2312"/>
                <w:sz w:val="28"/>
              </w:rPr>
              <w:t>按照《松材线虫病防治技术方案（</w:t>
            </w:r>
            <w:r>
              <w:rPr>
                <w:rFonts w:ascii="仿宋_GB2312" w:hAnsi="仿宋_GB2312" w:cs="仿宋_GB2312" w:eastAsia="仿宋_GB2312"/>
                <w:sz w:val="28"/>
              </w:rPr>
              <w:t>2024年版）》要求执行，</w:t>
            </w:r>
            <w:r>
              <w:rPr>
                <w:rFonts w:ascii="仿宋_GB2312" w:hAnsi="仿宋_GB2312" w:cs="仿宋_GB2312" w:eastAsia="仿宋_GB2312"/>
                <w:sz w:val="28"/>
                <w:color w:val="000000"/>
              </w:rPr>
              <w:t>对</w:t>
            </w:r>
            <w:r>
              <w:rPr>
                <w:rFonts w:ascii="仿宋_GB2312" w:hAnsi="仿宋_GB2312" w:cs="仿宋_GB2312" w:eastAsia="仿宋_GB2312"/>
                <w:sz w:val="28"/>
                <w:color w:val="000000"/>
              </w:rPr>
              <w:t>“即死即清”除治等关键环节，采取旁站式监理，发现问题及时要求整改。保留全程印证资料备查。</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至2026年10月底完成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至2026年12月底完成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略阳县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略阳县</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略阳县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在完成疫木除治质量验收后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在完成普查和疫木除治质量验收后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在完成质量验收和工程审计等</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完成疫木除治任务量50%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在完成疫木除治任务量80%后支付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除治任务完成，验收合格和工程审计等</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在项目完成施工后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在项目任务完成，且验收合格和工程审计后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在完成疫木除治质量验收后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在完成普查和疫木除治质量验收后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在完成质量验收和工程审计等</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用转账支票或银行电汇形式提交的投标保证金必须从其基本账户转出，投标供应商在缴纳保证金时应注明项目名称。2、采用银行保函形式提交投标保证金的，应用基本账户保函的银行或市级银行。注：1.须将原件于投标截止时间前一个工作日内交至代理机构财务处换取保证金收据，2.保证金收据换取地址为:汉中市汉台区竹园天玺办公楼16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供应商须具备陕西省林学会颁发的林业有害生物防治资质证书（丙级及以上）</w:t>
            </w:r>
          </w:p>
        </w:tc>
        <w:tc>
          <w:tcPr>
            <w:tcW w:type="dxa" w:w="3322"/>
          </w:tcPr>
          <w:p>
            <w:pPr>
              <w:pStyle w:val="null3"/>
            </w:pPr>
            <w:r>
              <w:rPr>
                <w:rFonts w:ascii="仿宋_GB2312" w:hAnsi="仿宋_GB2312" w:cs="仿宋_GB2312" w:eastAsia="仿宋_GB2312"/>
              </w:rPr>
              <w:t>供应商须具备陕西省林学会颁发的林业有害生物防治资质证书（丙级及以上）。</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供应商须具备陕西省林学会颁发的林业有害生物防治资质证书（丙级及以上）</w:t>
            </w:r>
          </w:p>
        </w:tc>
        <w:tc>
          <w:tcPr>
            <w:tcW w:type="dxa" w:w="3322"/>
          </w:tcPr>
          <w:p>
            <w:pPr>
              <w:pStyle w:val="null3"/>
            </w:pPr>
            <w:r>
              <w:rPr>
                <w:rFonts w:ascii="仿宋_GB2312" w:hAnsi="仿宋_GB2312" w:cs="仿宋_GB2312" w:eastAsia="仿宋_GB2312"/>
              </w:rPr>
              <w:t>供应商须具备陕西省林学会颁发的林业有害生物防治资质证书（丙级及以上）。</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供应商须具备陕西省林学会颁发的林业有害生物防治资质证书（丙级及以上）</w:t>
            </w:r>
          </w:p>
        </w:tc>
        <w:tc>
          <w:tcPr>
            <w:tcW w:type="dxa" w:w="3322"/>
          </w:tcPr>
          <w:p>
            <w:pPr>
              <w:pStyle w:val="null3"/>
            </w:pPr>
            <w:r>
              <w:rPr>
                <w:rFonts w:ascii="仿宋_GB2312" w:hAnsi="仿宋_GB2312" w:cs="仿宋_GB2312" w:eastAsia="仿宋_GB2312"/>
              </w:rPr>
              <w:t>供应商须具备陕西省林学会颁发的林业有害生物防治资质证书（丙级及以上）。</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供应商须具备陕西省林学会颁发的林业有害生物防治监理资质证书（丙级及以上）</w:t>
            </w:r>
          </w:p>
        </w:tc>
        <w:tc>
          <w:tcPr>
            <w:tcW w:type="dxa" w:w="3322"/>
          </w:tcPr>
          <w:p>
            <w:pPr>
              <w:pStyle w:val="null3"/>
            </w:pPr>
            <w:r>
              <w:rPr>
                <w:rFonts w:ascii="仿宋_GB2312" w:hAnsi="仿宋_GB2312" w:cs="仿宋_GB2312" w:eastAsia="仿宋_GB2312"/>
              </w:rPr>
              <w:t>供应商须具备陕西省林学会颁发的林业有害生物防治监理资质证书（丙级及以上）。</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商务应答表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应急处置方案.docx 服务内容及服务邀请应答表 类似项目业绩一览表.docx 中小企业声明函 商务应答表 项目团队配置.docx 重点难点分析及解决方案.docx 保障措施.docx 项目实施方案.docx 供应商认为需要说明的其他内容.docx 控股承诺.docx 汉中市政府采购供应商资格承诺函.pdf 供应商应提交的相关资格证明材料.docx 投标函 残疾人福利性单位声明函 保证金.pdf 标的清单 投标文件封面 法定代表人证明书及授权委托书.pdf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商务应答表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应急处置方案.docx 服务内容及服务邀请应答表 类似项目业绩一览表.docx 中小企业声明函 商务应答表 项目团队配置.docx 重点难点分析及解决方案.docx 保障措施.docx 项目实施方案.docx 供应商认为需要说明的其他内容.docx 控股承诺.docx 汉中市政府采购供应商资格承诺函.pdf 供应商应提交的相关资格证明材料.docx 投标函 残疾人福利性单位声明函 保证金.pdf 标的清单 投标文件封面 法定代表人证明书及授权委托书.pdf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商务应答表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应急处置方案.docx 服务内容及服务邀请应答表 类似项目业绩一览表.docx 中小企业声明函 商务应答表 项目团队配置.docx 重点难点分析及解决方案.docx 保障措施.docx 项目实施方案.docx 供应商认为需要说明的其他内容.docx 控股承诺.docx 汉中市政府采购供应商资格承诺函.pdf 供应商应提交的相关资格证明材料.docx 投标函 残疾人福利性单位声明函 保证金.pdf 标的清单 投标文件封面 法定代表人证明书及授权委托书.pdf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商务应答表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文档整理.docx 开标一览表 服务内容及服务邀请应答表 类似项目业绩一览表.docx 中小企业声明函 商务应答表 组织机构.docx 服务承诺.docx 企业实力.docx 供应商认为需要说明的其他内容.docx 控股承诺.docx 汉中市政府采购供应商资格承诺函.pdf 供应商应提交的相关资格证明材料.docx 投标函 残疾人福利性单位声明函 保证金.pdf 服务范围.docx 服务方案 标的清单 投标文件封面 法定代表人证明书及授权委托书.pdf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针对本项目提供的需求制定合理的方案，包括但不限于以下内容①项目认知分析；②松材线虫病疫木除治目标及除治区域现状分析；③成果资料收集整理措施；④除治成效方案。并按照以下标准评审：二、评审标准 1、完整性：方案必须全面，对评审内容中的各项要求有详细描述；2、可实施性：切合本项目实际情况，提出步骤清晰、合理的方案；3、针对性：方案能够紧扣项目实际情况，内容科学合理。三、赋分标准（满分24分）①项目认知分析：每满足一个评审标准得2分，不满足得0分，满分6分； ②松材线虫病疫木除治目标及除治区域现状分析：每满足一个评审标准得2分，不满足得0分，满分6分；③成果资料收集整理措施：每满足一个评审标准得2分，不满足得0分，满分6分；④除治成效方案：每满足一个评审标准得2分，不满足得0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一、针对本项目提供的需求制定合理的方案，包括但不限于以下内容①质量保障措施；②进度保障措施；③安全保障措施。二、评审标准 1、完整性：方案必须全面，对评审内容中的各项要求有详细描述；2、可实施性：切合本项目实际情况，提出清晰、合理的方案；3、针对性：方案能够紧扣项目实际情况，内容科学合理。三、赋分标准（满分18分）①质量保障措施：每满足一个评审标准得2分，不满足得0分，满分6分；②进度保障措施：每满足一个评审标准得2分，不满足得0分，满分6分；③安全保障措施：每满足一个评审标准得2分，不满足得0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一、针对本项目提供的需求制定合理的方案，包括但不限于以下内容①对本项目的重点、难点进行分析；②对本项目重点、难点的应对措施。二、评审标准 1、完整性：方案必须全面，对评审内容中的各项要求有详细描述；2、合理性：切合本项目实际情况，条理清楚；3、针对性：方案能够紧扣项目实际情况，内容科学合理。三、赋分标准（满分15分）①对本项目的重点、难点进行分析：每满足一个评审标准得3分，不满足得0分，满分9分；②对本项目重点、难点的应对措施：每满足一个评审标准得2分，不满足得0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重点难点分析及解决方案.docx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一、应急处置方案包括但不限于以下内容①应急组织机构②应急响应流程③作业过程中突发状况的应急处理方案④应急保障措施。二、评审标准 1、完整性：方案必须全面，对评审内容中的各项要求有详细描述；2、可实施性：切合本项目实际情况，提出清晰、合理的方案；3、针对性：方案能够紧扣项目实际情况，内容科学合理。三、赋分标准（满分12分）①应急组织机构：每满足一个评审标准得1分，不满足得0分，满分3分； ②应急响应流程：每满足一个评审标准得1分，不满足得0分，满分3分；③作业过程中突发状况的应急处理方案：每满足一个评审标准得1分，不满足得0分，满分3分；④应急保障措施：每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应急处置方案.docx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拟投入专业人员，12人及以上得10分，8（含）-12人得5分，5（含）-8人得3分，5人以下或未提供不得分。2、项目拟投入人员包含1名相关领域专业技术人员，具有高级职称得5分，中级职称得3分，未提供不得分（需提供职称证书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项目团队配置.docx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供应商具有2023年1月1日至今（以合同签订时间为准）类似项目业绩，以成交通知书或协议书（合同）原件或复印件为准，每提供一个得3分，最高得6分。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3、不享有政策优惠条件的招标供应商报价得分=（评审基准价/报价）×10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针对本项目提供的需求制定合理的方案，包括但不限于以下内容①项目认知分析；②松材线虫病疫木“即死即清”除治目标及除治区域现状分析；③成果资料收集整理措施；④除治成效方案。并按照以下标准评审：二、评审标准 1、完整性：方案必须全面，对评审内容中的各项要求有详细描述；2、可实施性：切合本项目实际情况，提出步骤清晰、合理的方案；3、针对性：方案能够紧扣项目实际情况，内容科学合理。三、赋分标准（满分24分）①项目认知分析：每满足一个评审标准得2分，不满足得0分，满分6分； ②松材线虫病疫木“即死即清”除治目标及除治区域现状分析：每满足一个评审标准得2分，不满足得0分，满分6分；③成果资料收集整理措施：每满足一个评审标准得2分，不满足得0分，满分6分；④除治成效方案：每满足一个评审标准得2分，不满足得0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一、针对本项目提供的需求制定合理的方案，包括但不限于以下内容①质量保障措施；②进度保障措施；③安全保障措施。二、评审标准 1、完整性：方案必须全面，对评审内容中的各项要求有详细描述；2、可实施性：切合本项目实际情况，提出清晰、合理的方案；3、针对性：方案能够紧扣项目实际情况，内容科学合理。三、赋分标准（满分18分）①质量保障措施：每满足一个评审标准得2分，不满足得0分，满分6分；②进度保障措施：每满足一个评审标准得2分，不满足得0分，满分6分；③安全保障措施：每满足一个评审标准得2分，不满足得0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一、针对本项目提供的需求制定合理的方案，包括但不限于以下内容①对本项目的重点、难点进行分析；②对本项目重点、难点的应对措施。二、评审标准 1、完整性：方案必须全面，对评审内容中的各项要求有详细描述；2、合理性：切合本项目实际情况，条理清楚；3、针对性：方案能够紧扣项目实际情况，内容科学合理。三、赋分标准（满分15分）①对本项目的重点、难点进行分析：每满足一个评审标准得3分，不满足得0分，满分9分；②对本项目重点、难点的应对措施：每满足一个评审标准得2分，不满足得0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重点难点分析及解决方案.docx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一、应急处置方案包括但不限于以下内容①应急组织机构②应急响应流程③作业过程中突发状况的应急处理方案④应急保障措施。二、评审标准 1、完整性：方案必须全面，对评审内容中的各项要求有详细描述；2、可实施性：切合本项目实际情况，提出清晰、合理的方案；3、针对性：方案能够紧扣项目实际情况，内容科学合理。三、赋分标准（满分12分）①应急组织机构：每满足一个评审标准得1分，不满足得0分，满分3分； ②应急响应流程：每满足一个评审标准得1分，不满足得0分，满分3分；③作业过程中突发状况的应急处理方案：每满足一个评审标准得1分，不满足得0分，满分3分；④应急保障措施：每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应急处置方案.docx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拟投入专业人员，12人及以上得10分，8（含）-12人得5分，5（含）-8人得3分，5人以下或未提供不得分。2、项目拟投入人员包含1名相关领域专业技术人员，具有高级职称得5分，中级职称得3分，未提供不得分（需提供职称证书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项目团队配置.docx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供应商具有2023年1月1日至今（以合同签订时间为准）类似项目业绩，以成交通知书或协议书（合同）原件或复印件为准，每提供一个得3分，最高得6分。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类似项目业绩一览表.docx</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3、不享有政策优惠条件的招标供应商报价得分=（评审基准价/报价）×10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针对本项目提供的需求制定合理的方案，包括但不限于以下内容①项目认知分析；②经济林木病虫害防治目标及防治区域现状分析；③成果资料收集整理措施；④防治成效方案。并按照以下标准评审：二、评审标准 1、完整性：方案必须全面，对评审内容中的各项要求有详细描述；2、可实施性：切合本项目实际情况，提出步骤清晰、合理的方案；3、针对性：方案能够紧扣项目实际情况，内容科学合理。三、赋分标准（满分24分）①项目认知分析：每满足一个评审标准得2分，不满足得0分，满分6分； ②经济林木病虫害防治目标及防治区域现状分析：每满足一个评审标准得2分，不满足得0分，满分6分；③成果资料收集整理措施：每满足一个评审标准得2分，不满足得0分，满分6分；④防治成效方案：每满足一个评审标准得2分，不满足得0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一、针对本项目提供的需求制定合理的方案，包括但不限于以下内容①质量保障措施；②进度保障措施；③安全保障措施。二、评审标准 1、完整性：方案必须全面，对评审内容中的各项要求有详细描述；2、可实施性：切合本项目实际情况，提出清晰、合理的方案；3、针对性：方案能够紧扣项目实际情况，内容科学合理。三、赋分标准（满分18分）①质量保障措施：每满足一个评审标准得2分，不满足得0分，满分6分；②进度保障措施：每满足一个评审标准得2分，不满足得0分，满分6分；③安全保障措施：每满足一个评审标准得2分，不满足得0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一、针对本项目提供的需求制定合理的方案，包括但不限于以下内容①对本项目的重点、难点进行分析；②对本项目重点、难点的应对措施。二、评审标准 1、完整性：方案必须全面，对评审内容中的各项要求有详细描述；2、合理性：切合本项目实际情况，条理清楚；3、针对性：方案能够紧扣项目实际情况，内容科学合理。三、赋分标准（满分15分）①对本项目的重点、难点进行分析：每满足一个评审标准得3分，不满足得0分，满分9分；②对本项目重点、难点的应对措施：每满足一个评审标准得2分，不满足得0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重点难点分析及解决方案.docx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一、应急处置方案包括但不限于以下内容①应急组织机构②应急响应流程③作业过程中突发状况的应急处理方案④应急保障措施。二、评审标准 1、完整性：方案必须全面，对评审内容中的各项要求有详细描述；2、可实施性：切合本项目实际情况，提出清晰、合理的方案；3、针对性：方案能够紧扣项目实际情况，内容科学合理。三、赋分标准（满分12分）①应急组织机构：每满足一个评审标准得1分，不满足得0分，满分3分； ②应急响应流程：每满足一个评审标准得1分，不满足得0分，满分3分；③作业过程中突发状况的应急处理方案：每满足一个评审标准得1分，不满足得0分，满分3分；④应急保障措施：每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应急处置方案.docx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拟投入专业人员，12人及以上得10分，8（含）-12人得5分，5（含）-8人得3分，5人以下或未提供不得分。2、项目拟投入人员包含1名相关领域专业技术人员，具有高级职称得5分，中级职称得3分，未提供不得分（需提供职称证书复印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项目团队配置.docx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供应商具有2023年1月1日至今（以合同签订时间为准）类似项目业绩，以成交通知书或协议书（合同）原件或复印件为准，每提供一个得3分，最高得6分。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3、不享有政策优惠条件的招标供应商报价得分=（评审基准价/报价）×10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投标供应商提供2023年至今完成的类似业绩证明，每提供一份得2.5分，最高得5.0分； 注：业绩须是供应商完成的类似项目，以成交通知书或协议书（合同）原件或复印件为准。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1、拟派驻本项目的监理人员不少于3人(含3人)，计3分：少于3人此项不计分。 2、拟派驻本项目的总监理师承担过类似项目监理工作的，计4分。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针对本项目服务承诺，方案包含：①具有针对性的合理化方案及建议；②承诺监理期限，现场监理服务质量保证措施；③配备专业的监理设施、设备、仪器配置。 二、评审标准 1.完整性：方案必须全面，对评审内容中的各项要求有详细描述； 2.可实施性：切合本项目实际情况，提出步骤清晰、合理的方案； 3.针对性：方案能够紧扣项目实际情况，内容科学合理。 三、赋分标准（满分18分） ①具有针对性的合理化方案及建议：每完全满足一个评审标准得0-2分，满分6分； ②承诺监理期限，现场监理服务质量保证措施:每完全满足一个评审标准得0-2分，满分6分。 ③配备专业的监理设施、设备、仪器配置:每完全满足一个评审标准得0-2分，满分6分。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针对本项目服务方案包含：①归纳、难点的分析、理解、以及监理服务整体方案。②质量控制的程序及措施。 二、评审标准 1.完整性：方案必须全面，对评审内容中的各项要求有详细描述； 2.可实施性：切合本项目实际情况，提出步骤清晰、合理的方案； 3.针对性：方案能够紧扣项目实际情况，内容科学合理。 三、赋分标准（满分12分） ①归纳、分析、理解、以及监理服务整体方案：每完全满足一个评审标准得0-2分，满分6分； ②质量控制的程序及措施：每完全满足一个评审标准得0-2分，满分6分；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服务范围</w:t>
            </w:r>
          </w:p>
        </w:tc>
        <w:tc>
          <w:tcPr>
            <w:tcW w:type="dxa" w:w="2492"/>
          </w:tcPr>
          <w:p>
            <w:pPr>
              <w:pStyle w:val="null3"/>
            </w:pPr>
            <w:r>
              <w:rPr>
                <w:rFonts w:ascii="仿宋_GB2312" w:hAnsi="仿宋_GB2312" w:cs="仿宋_GB2312" w:eastAsia="仿宋_GB2312"/>
              </w:rPr>
              <w:t>一、评审内容 针对本项目①监理服务范围、目标及依据②安全监督方案③进度控制的程序和措施④安全控制措施和方法 二、评审标准 1.完整性：方案必须全面，对评审内容中的各项要求有详细描述； 2.可实施性：切合本项目实际情况，提出步骤清晰、合理的方案； 3.针对性：方案能够紧扣项目实际情况，内容科学合理。 三、赋分标准（满分24分） ①具有本项目监理服务范围、目标及依据：每完全满足一个评审标准得0-2分，满分6分； ②安全监督方案：每完全满足一个评审标准得0-2分，满分6分； ③进度控制的程序和措施：每完全满足一个评审标准得0-2分，满分6分。 ④安全控制措施和方法：每完全满足一个评审标准得0-2分，满分6分。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服务范围.docx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一、评审内容 针对本项目①监理组织机构方案②组织协调的内容和措施③人员安排方案，分工合理、责任明确，能确保项目顺利实施 二、评审标准 1.完整性：方案必须全面，对评审内容中的各项要求有详细描述； 2.可实施性：切合本项目实际情况，提出步骤清晰、合理的方案； 3.针对性：方案能够紧扣项目实际情况，内容科学合理。 三、赋分标准（满分18分） ①具有本项目监理组织机构设置：每完全满足一个评审标准得0-2分，满分6分； ②组织协调的内容和措施：每完全满足一个评审标准得0-2分，满分6分； ③人员安排方案，分工合理、责任明确，能确保项目顺利实施：每完全满足一个评审标准得0-2分，满分6分。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组织机构.docx</w:t>
            </w:r>
          </w:p>
        </w:tc>
      </w:tr>
      <w:tr>
        <w:tc>
          <w:tcPr>
            <w:tcW w:type="dxa" w:w="831"/>
            <w:vMerge/>
          </w:tcPr>
          <w:p/>
        </w:tc>
        <w:tc>
          <w:tcPr>
            <w:tcW w:type="dxa" w:w="1661"/>
          </w:tcPr>
          <w:p>
            <w:pPr>
              <w:pStyle w:val="null3"/>
            </w:pPr>
            <w:r>
              <w:rPr>
                <w:rFonts w:ascii="仿宋_GB2312" w:hAnsi="仿宋_GB2312" w:cs="仿宋_GB2312" w:eastAsia="仿宋_GB2312"/>
              </w:rPr>
              <w:t>文档整理</w:t>
            </w:r>
          </w:p>
        </w:tc>
        <w:tc>
          <w:tcPr>
            <w:tcW w:type="dxa" w:w="2492"/>
          </w:tcPr>
          <w:p>
            <w:pPr>
              <w:pStyle w:val="null3"/>
            </w:pPr>
            <w:r>
              <w:rPr>
                <w:rFonts w:ascii="仿宋_GB2312" w:hAnsi="仿宋_GB2312" w:cs="仿宋_GB2312" w:eastAsia="仿宋_GB2312"/>
              </w:rPr>
              <w:t>一、评审内容 针对本项目①信息管理（文档）②合同管理 二、评审标准 1.完整性：方案必须全面，对评审内容中的各项要求有详细描述； 2.可实施性：切合本项目实际情况，提出步骤清晰、合理的方案； 3.针对性：方案能够紧扣项目实际情况，内容科学合理。 三、赋分标准（满分6分） ①具有本项目信息管理（文档）：每完全满足一个评审标准得0-1分，满分3分； ②合同管理：每完全满足一个评审标准得0-1分，满分3分。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文档整理.docx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3、不享有政策优惠条件的招标供应商报价得分=（评审基准价/报价）×10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详见附件：保障措施.docx</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详见附件：项目团队配置.docx</w:t>
      </w:r>
    </w:p>
    <w:p>
      <w:pPr>
        <w:pStyle w:val="null3"/>
        <w:ind w:firstLine="960"/>
      </w:pPr>
      <w:r>
        <w:rPr>
          <w:rFonts w:ascii="仿宋_GB2312" w:hAnsi="仿宋_GB2312" w:cs="仿宋_GB2312" w:eastAsia="仿宋_GB2312"/>
        </w:rPr>
        <w:t>详见附件：应急处置方案.docx</w:t>
      </w:r>
    </w:p>
    <w:p>
      <w:pPr>
        <w:pStyle w:val="null3"/>
        <w:ind w:firstLine="960"/>
      </w:pPr>
      <w:r>
        <w:rPr>
          <w:rFonts w:ascii="仿宋_GB2312" w:hAnsi="仿宋_GB2312" w:cs="仿宋_GB2312" w:eastAsia="仿宋_GB2312"/>
        </w:rPr>
        <w:t>详见附件：重点难点分析及解决方案.docx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详见附件：类似项目业绩一览表.docx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详见附件：保障措施.docx</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详见附件：项目团队配置.docx</w:t>
      </w:r>
    </w:p>
    <w:p>
      <w:pPr>
        <w:pStyle w:val="null3"/>
        <w:ind w:firstLine="960"/>
      </w:pPr>
      <w:r>
        <w:rPr>
          <w:rFonts w:ascii="仿宋_GB2312" w:hAnsi="仿宋_GB2312" w:cs="仿宋_GB2312" w:eastAsia="仿宋_GB2312"/>
        </w:rPr>
        <w:t>详见附件：应急处置方案.docx</w:t>
      </w:r>
    </w:p>
    <w:p>
      <w:pPr>
        <w:pStyle w:val="null3"/>
        <w:ind w:firstLine="960"/>
      </w:pPr>
      <w:r>
        <w:rPr>
          <w:rFonts w:ascii="仿宋_GB2312" w:hAnsi="仿宋_GB2312" w:cs="仿宋_GB2312" w:eastAsia="仿宋_GB2312"/>
        </w:rPr>
        <w:t>详见附件：重点难点分析及解决方案.docx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详见附件：类似项目业绩一览表.docx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详见附件：保障措施.docx</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详见附件：项目团队配置.docx</w:t>
      </w:r>
    </w:p>
    <w:p>
      <w:pPr>
        <w:pStyle w:val="null3"/>
        <w:ind w:firstLine="960"/>
      </w:pPr>
      <w:r>
        <w:rPr>
          <w:rFonts w:ascii="仿宋_GB2312" w:hAnsi="仿宋_GB2312" w:cs="仿宋_GB2312" w:eastAsia="仿宋_GB2312"/>
        </w:rPr>
        <w:t>详见附件：应急处置方案.docx</w:t>
      </w:r>
    </w:p>
    <w:p>
      <w:pPr>
        <w:pStyle w:val="null3"/>
        <w:ind w:firstLine="960"/>
      </w:pPr>
      <w:r>
        <w:rPr>
          <w:rFonts w:ascii="仿宋_GB2312" w:hAnsi="仿宋_GB2312" w:cs="仿宋_GB2312" w:eastAsia="仿宋_GB2312"/>
        </w:rPr>
        <w:t>详见附件：重点难点分析及解决方案.docx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详见附件：类似项目业绩一览表.docx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详见附件：服务范围.docx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详见附件：文档整理.docx</w:t>
      </w:r>
    </w:p>
    <w:p>
      <w:pPr>
        <w:pStyle w:val="null3"/>
        <w:ind w:firstLine="960"/>
      </w:pPr>
      <w:r>
        <w:rPr>
          <w:rFonts w:ascii="仿宋_GB2312" w:hAnsi="仿宋_GB2312" w:cs="仿宋_GB2312" w:eastAsia="仿宋_GB2312"/>
        </w:rPr>
        <w:t>详见附件：组织机构.docx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