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项目实施方案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2026-04-17T09:48:54Z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