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版本号：ZCMR--2026033（2）20260422001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略阳县五龙洞镇下坝村2025年度农作物秸秆综合利用项目(二次)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ZCMR--2026033（2）</w:t>
      </w:r>
      <w:r>
        <w:br/>
      </w:r>
      <w:r>
        <w:br/>
      </w:r>
      <w:r>
        <w:br/>
      </w:r>
    </w:p>
    <w:p>
      <w:pPr>
        <w:pStyle w:val="null3"/>
        <w:jc w:val="center"/>
        <w:outlineLvl w:val="2"/>
      </w:pPr>
      <w:r>
        <w:rPr>
          <w:rFonts w:ascii="仿宋_GB2312" w:hAnsi="仿宋_GB2312" w:cs="仿宋_GB2312" w:eastAsia="仿宋_GB2312"/>
          <w:sz w:val="28"/>
          <w:b/>
        </w:rPr>
        <w:t>略阳县五龙洞镇人民政府</w:t>
      </w:r>
    </w:p>
    <w:p>
      <w:pPr>
        <w:pStyle w:val="null3"/>
        <w:jc w:val="center"/>
        <w:outlineLvl w:val="2"/>
      </w:pPr>
      <w:r>
        <w:rPr>
          <w:rFonts w:ascii="仿宋_GB2312" w:hAnsi="仿宋_GB2312" w:cs="仿宋_GB2312" w:eastAsia="仿宋_GB2312"/>
          <w:sz w:val="28"/>
          <w:b/>
        </w:rPr>
        <w:t>汉中明瑞项目管理有限公司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汉中明瑞项目管理有限公司</w:t>
      </w:r>
      <w:r>
        <w:rPr>
          <w:rFonts w:ascii="仿宋_GB2312" w:hAnsi="仿宋_GB2312" w:cs="仿宋_GB2312" w:eastAsia="仿宋_GB2312"/>
        </w:rPr>
        <w:t>（以下简称“代理机构”）受</w:t>
      </w:r>
      <w:r>
        <w:rPr>
          <w:rFonts w:ascii="仿宋_GB2312" w:hAnsi="仿宋_GB2312" w:cs="仿宋_GB2312" w:eastAsia="仿宋_GB2312"/>
        </w:rPr>
        <w:t>略阳县五龙洞镇人民政府</w:t>
      </w:r>
      <w:r>
        <w:rPr>
          <w:rFonts w:ascii="仿宋_GB2312" w:hAnsi="仿宋_GB2312" w:cs="仿宋_GB2312" w:eastAsia="仿宋_GB2312"/>
        </w:rPr>
        <w:t>委托，拟对</w:t>
      </w:r>
      <w:r>
        <w:rPr>
          <w:rFonts w:ascii="仿宋_GB2312" w:hAnsi="仿宋_GB2312" w:cs="仿宋_GB2312" w:eastAsia="仿宋_GB2312"/>
        </w:rPr>
        <w:t>略阳县五龙洞镇下坝村2025年度农作物秸秆综合利用项目(二次)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ZCMR--2026033（2）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略阳县五龙洞镇下坝村2025年度农作物秸秆综合利用项目(二次)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1.农作物桔秆倒草揉丝及青贮饲料粉碎覆膜机1套，农作物转运机械2套，玉米联合收获机1台，中型稻油联合收割机1台；2.新建农作物秸秆加工车间340平方米，农作物秸秆储存室250平方米。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采购包1（农作物秸秆设备）：属于专门面向中小企业采购。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 ，供应商提供《汉中市政府采购供应商资格承诺函》；：提供《汉中市政府采购供应商资格承诺函》；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略阳县五龙洞镇人民政府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略阳县五龙洞镇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0916-4956011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汉中明瑞项目管理有限公司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汉中市汉台区竹园天玺办公楼11楼（汉台区桥北广场东北角）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17384866623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0916-4822998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开户名称：汉中明瑞项目管理有限公司</w:t>
            </w:r>
          </w:p>
          <w:p>
            <w:pPr>
              <w:pStyle w:val="null3"/>
            </w:pPr>
            <w:r>
              <w:rPr>
                <w:rFonts w:ascii="仿宋_GB2312" w:hAnsi="仿宋_GB2312" w:cs="仿宋_GB2312" w:eastAsia="仿宋_GB2312"/>
              </w:rPr>
              <w:t>开户银行：中国建设银行股份有限公司汉中天汉大道支行</w:t>
            </w:r>
          </w:p>
          <w:p>
            <w:pPr>
              <w:pStyle w:val="null3"/>
            </w:pPr>
            <w:r>
              <w:rPr>
                <w:rFonts w:ascii="仿宋_GB2312" w:hAnsi="仿宋_GB2312" w:cs="仿宋_GB2312" w:eastAsia="仿宋_GB2312"/>
              </w:rPr>
              <w:t>银行账号：61050165530000001084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说明：在签订合同前供应商应按签约合同价的3%缴纳履约保证金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代理服务费收费标准：参照《国家计委关于印发&lt;招标代理服务收费管理暂行办法&gt;的通知》（计价格[2002]1980号）、发改价格〔2011〕534号文及《 陕西省住房和城乡建设厅文件陕价行发【2014】88号》文收费标准向采购代理机构支付代理服务费。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略阳县五龙洞镇人民政府</w:t>
      </w:r>
      <w:r>
        <w:rPr>
          <w:rFonts w:ascii="仿宋_GB2312" w:hAnsi="仿宋_GB2312" w:cs="仿宋_GB2312" w:eastAsia="仿宋_GB2312"/>
        </w:rPr>
        <w:t>和</w:t>
      </w:r>
      <w:r>
        <w:rPr>
          <w:rFonts w:ascii="仿宋_GB2312" w:hAnsi="仿宋_GB2312" w:cs="仿宋_GB2312" w:eastAsia="仿宋_GB2312"/>
        </w:rPr>
        <w:t>汉中明瑞项目管理有限公司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略阳县五龙洞镇人民政府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汉中明瑞项目管理有限公司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略阳县五龙洞镇人民政府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汉中明瑞项目管理有限公司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汉中明瑞项目管理有限公司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汉中明瑞项目管理有限公司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汉中明瑞项目管理有限公司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联系人：杨先生</w:t>
      </w:r>
    </w:p>
    <w:p>
      <w:pPr>
        <w:pStyle w:val="null3"/>
      </w:pPr>
      <w:r>
        <w:rPr>
          <w:rFonts w:ascii="仿宋_GB2312" w:hAnsi="仿宋_GB2312" w:cs="仿宋_GB2312" w:eastAsia="仿宋_GB2312"/>
        </w:rPr>
        <w:t>联系电话：17384866623</w:t>
      </w:r>
    </w:p>
    <w:p>
      <w:pPr>
        <w:pStyle w:val="null3"/>
      </w:pPr>
      <w:r>
        <w:rPr>
          <w:rFonts w:ascii="仿宋_GB2312" w:hAnsi="仿宋_GB2312" w:cs="仿宋_GB2312" w:eastAsia="仿宋_GB2312"/>
        </w:rPr>
        <w:t>地址：汉中市汉台区竹园天玺办公楼11楼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1.农作物桔秆倒草揉丝及青贮饲料粉碎覆膜机1套，农作物转运机械2套，玉米联合收获机1台，中型稻油联合收割机1台；2.新建农作物秸秆加工车间340平方米，农作物秸秆储存室250平方米。</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560,500.00</w:t>
      </w:r>
    </w:p>
    <w:p>
      <w:pPr>
        <w:pStyle w:val="null3"/>
      </w:pPr>
      <w:r>
        <w:rPr>
          <w:rFonts w:ascii="仿宋_GB2312" w:hAnsi="仿宋_GB2312" w:cs="仿宋_GB2312" w:eastAsia="仿宋_GB2312"/>
        </w:rPr>
        <w:t>采购包最高限价（元）: 560,500.00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农作物秸秆设备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560,500.00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标的名称：农作物秸秆设备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97"/>
              <w:gridCol w:w="229"/>
              <w:gridCol w:w="229"/>
              <w:gridCol w:w="1409"/>
              <w:gridCol w:w="488"/>
            </w:tblGrid>
            <w:tr>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458"/>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产品名称</w:t>
                  </w:r>
                </w:p>
              </w:tc>
              <w:tc>
                <w:tcPr>
                  <w:tcW w:type="dxa" w:w="1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规格要求</w:t>
                  </w: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r>
            <w:tr>
              <w:tc>
                <w:tcPr>
                  <w:tcW w:type="dxa" w:w="1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58"/>
                  <w:gridSpan w:val="2"/>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农作物秸秆铡草揉丝机及青贮饲料粉碎覆膜机</w:t>
                  </w:r>
                </w:p>
              </w:tc>
              <w:tc>
                <w:tcPr>
                  <w:tcW w:type="dxa" w:w="140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农作物秸秆铡草揉丝机及青贮饲料粉碎覆膜机：1套</w:t>
                  </w:r>
                  <w:r>
                    <w:br/>
                  </w:r>
                  <w:r>
                    <w:rPr>
                      <w:rFonts w:ascii="仿宋_GB2312" w:hAnsi="仿宋_GB2312" w:cs="仿宋_GB2312" w:eastAsia="仿宋_GB2312"/>
                      <w:sz w:val="22"/>
                      <w:color w:val="000000"/>
                    </w:rPr>
                    <w:t xml:space="preserve"> 配套动力 ：≥5.5KW；★</w:t>
                  </w:r>
                  <w:r>
                    <w:br/>
                  </w:r>
                  <w:r>
                    <w:rPr>
                      <w:rFonts w:ascii="仿宋_GB2312" w:hAnsi="仿宋_GB2312" w:cs="仿宋_GB2312" w:eastAsia="仿宋_GB2312"/>
                      <w:sz w:val="22"/>
                      <w:color w:val="000000"/>
                    </w:rPr>
                    <w:t xml:space="preserve"> 生产效率：≥50捆/h；★</w:t>
                  </w:r>
                  <w:r>
                    <w:br/>
                  </w:r>
                  <w:r>
                    <w:rPr>
                      <w:rFonts w:ascii="仿宋_GB2312" w:hAnsi="仿宋_GB2312" w:cs="仿宋_GB2312" w:eastAsia="仿宋_GB2312"/>
                      <w:sz w:val="22"/>
                      <w:color w:val="000000"/>
                    </w:rPr>
                    <w:t xml:space="preserve"> 包膜层：≥2层；★</w:t>
                  </w:r>
                  <w:r>
                    <w:br/>
                  </w:r>
                  <w:r>
                    <w:rPr>
                      <w:rFonts w:ascii="仿宋_GB2312" w:hAnsi="仿宋_GB2312" w:cs="仿宋_GB2312" w:eastAsia="仿宋_GB2312"/>
                      <w:sz w:val="22"/>
                      <w:color w:val="000000"/>
                    </w:rPr>
                    <w:t xml:space="preserve"> 配套揉丝机动力：≥15kW(主电机）</w:t>
                  </w:r>
                  <w:r>
                    <w:br/>
                  </w:r>
                  <w:r>
                    <w:rPr>
                      <w:rFonts w:ascii="仿宋_GB2312" w:hAnsi="仿宋_GB2312" w:cs="仿宋_GB2312" w:eastAsia="仿宋_GB2312"/>
                      <w:sz w:val="22"/>
                      <w:color w:val="000000"/>
                    </w:rPr>
                    <w:t xml:space="preserve"> 输送动力：1.5kW</w:t>
                  </w:r>
                  <w:r>
                    <w:br/>
                  </w:r>
                  <w:r>
                    <w:rPr>
                      <w:rFonts w:ascii="仿宋_GB2312" w:hAnsi="仿宋_GB2312" w:cs="仿宋_GB2312" w:eastAsia="仿宋_GB2312"/>
                      <w:sz w:val="22"/>
                      <w:color w:val="000000"/>
                    </w:rPr>
                    <w:t xml:space="preserve"> 外形尺寸（长×宽×高）:≥3000*900*1000mm； </w:t>
                  </w:r>
                  <w:r>
                    <w:br/>
                  </w:r>
                  <w:r>
                    <w:rPr>
                      <w:rFonts w:ascii="仿宋_GB2312" w:hAnsi="仿宋_GB2312" w:cs="仿宋_GB2312" w:eastAsia="仿宋_GB2312"/>
                      <w:sz w:val="22"/>
                      <w:color w:val="000000"/>
                    </w:rPr>
                    <w:t xml:space="preserve"> 生产率：≥6t/h；</w:t>
                  </w:r>
                  <w:r>
                    <w:br/>
                  </w:r>
                  <w:r>
                    <w:rPr>
                      <w:rFonts w:ascii="仿宋_GB2312" w:hAnsi="仿宋_GB2312" w:cs="仿宋_GB2312" w:eastAsia="仿宋_GB2312"/>
                      <w:sz w:val="22"/>
                      <w:color w:val="000000"/>
                    </w:rPr>
                    <w:t xml:space="preserve"> 传动方式：皮带传动； </w:t>
                  </w:r>
                  <w:r>
                    <w:br/>
                  </w:r>
                  <w:r>
                    <w:rPr>
                      <w:rFonts w:ascii="仿宋_GB2312" w:hAnsi="仿宋_GB2312" w:cs="仿宋_GB2312" w:eastAsia="仿宋_GB2312"/>
                      <w:sz w:val="22"/>
                      <w:color w:val="000000"/>
                    </w:rPr>
                    <w:t xml:space="preserve"> 结构型式：锤片式；</w:t>
                  </w:r>
                  <w:r>
                    <w:br/>
                  </w:r>
                  <w:r>
                    <w:rPr>
                      <w:rFonts w:ascii="仿宋_GB2312" w:hAnsi="仿宋_GB2312" w:cs="仿宋_GB2312" w:eastAsia="仿宋_GB2312"/>
                      <w:sz w:val="22"/>
                      <w:color w:val="000000"/>
                    </w:rPr>
                    <w:t xml:space="preserve"> 锤片数量：≥48片</w:t>
                  </w:r>
                  <w:r>
                    <w:br/>
                  </w:r>
                  <w:r>
                    <w:rPr>
                      <w:rFonts w:ascii="仿宋_GB2312" w:hAnsi="仿宋_GB2312" w:cs="仿宋_GB2312" w:eastAsia="仿宋_GB2312"/>
                      <w:sz w:val="22"/>
                      <w:color w:val="000000"/>
                    </w:rPr>
                    <w:t xml:space="preserve"> 喂入方式：链条</w:t>
                  </w:r>
                  <w:r>
                    <w:br/>
                  </w:r>
                  <w:r>
                    <w:rPr>
                      <w:rFonts w:ascii="仿宋_GB2312" w:hAnsi="仿宋_GB2312" w:cs="仿宋_GB2312" w:eastAsia="仿宋_GB2312"/>
                      <w:sz w:val="22"/>
                      <w:color w:val="000000"/>
                    </w:rPr>
                    <w:t xml:space="preserve"> “★”提供产品检测报告</w:t>
                  </w:r>
                </w:p>
              </w:tc>
              <w:tc>
                <w:tcPr>
                  <w:tcW w:type="dxa" w:w="488"/>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1套</w:t>
                  </w:r>
                </w:p>
              </w:tc>
            </w:tr>
            <w:tr>
              <w:tc>
                <w:tcPr>
                  <w:tcW w:type="dxa" w:w="1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58"/>
                  <w:gridSpan w:val="2"/>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农作物秸秆转运车</w:t>
                  </w:r>
                </w:p>
              </w:tc>
              <w:tc>
                <w:tcPr>
                  <w:tcW w:type="dxa" w:w="140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功率:≥18.8kW国四标准；</w:t>
                  </w:r>
                  <w:r>
                    <w:br/>
                  </w:r>
                  <w:r>
                    <w:rPr>
                      <w:rFonts w:ascii="仿宋_GB2312" w:hAnsi="仿宋_GB2312" w:cs="仿宋_GB2312" w:eastAsia="仿宋_GB2312"/>
                      <w:sz w:val="22"/>
                      <w:color w:val="000000"/>
                    </w:rPr>
                    <w:t xml:space="preserve"> 发动机:单缸柴油机(G4)；</w:t>
                  </w:r>
                  <w:r>
                    <w:br/>
                  </w:r>
                  <w:r>
                    <w:rPr>
                      <w:rFonts w:ascii="仿宋_GB2312" w:hAnsi="仿宋_GB2312" w:cs="仿宋_GB2312" w:eastAsia="仿宋_GB2312"/>
                      <w:sz w:val="22"/>
                      <w:color w:val="000000"/>
                    </w:rPr>
                    <w:t xml:space="preserve"> 排放标准：第四阶段；</w:t>
                  </w:r>
                  <w:r>
                    <w:br/>
                  </w:r>
                  <w:r>
                    <w:rPr>
                      <w:rFonts w:ascii="仿宋_GB2312" w:hAnsi="仿宋_GB2312" w:cs="仿宋_GB2312" w:eastAsia="仿宋_GB2312"/>
                      <w:sz w:val="22"/>
                      <w:color w:val="000000"/>
                    </w:rPr>
                    <w:t xml:space="preserve"> 驱动:后轮驱动；</w:t>
                  </w:r>
                  <w:r>
                    <w:br/>
                  </w:r>
                  <w:r>
                    <w:rPr>
                      <w:rFonts w:ascii="仿宋_GB2312" w:hAnsi="仿宋_GB2312" w:cs="仿宋_GB2312" w:eastAsia="仿宋_GB2312"/>
                      <w:sz w:val="22"/>
                      <w:color w:val="000000"/>
                    </w:rPr>
                    <w:t xml:space="preserve"> 轴距:≥1200mm；</w:t>
                  </w:r>
                  <w:r>
                    <w:br/>
                  </w:r>
                  <w:r>
                    <w:rPr>
                      <w:rFonts w:ascii="仿宋_GB2312" w:hAnsi="仿宋_GB2312" w:cs="仿宋_GB2312" w:eastAsia="仿宋_GB2312"/>
                      <w:sz w:val="22"/>
                      <w:color w:val="000000"/>
                    </w:rPr>
                    <w:t xml:space="preserve"> 轮距:≥前轮900mm/后轮980mm；</w:t>
                  </w:r>
                  <w:r>
                    <w:br/>
                  </w:r>
                  <w:r>
                    <w:rPr>
                      <w:rFonts w:ascii="仿宋_GB2312" w:hAnsi="仿宋_GB2312" w:cs="仿宋_GB2312" w:eastAsia="仿宋_GB2312"/>
                      <w:sz w:val="22"/>
                      <w:color w:val="000000"/>
                    </w:rPr>
                    <w:t xml:space="preserve"> 最小离地间隙:≥230mm;</w:t>
                  </w:r>
                  <w:r>
                    <w:br/>
                  </w:r>
                  <w:r>
                    <w:rPr>
                      <w:rFonts w:ascii="仿宋_GB2312" w:hAnsi="仿宋_GB2312" w:cs="仿宋_GB2312" w:eastAsia="仿宋_GB2312"/>
                      <w:sz w:val="22"/>
                      <w:color w:val="000000"/>
                    </w:rPr>
                    <w:t xml:space="preserve"> 最小质量：≥980kg；</w:t>
                  </w:r>
                  <w:r>
                    <w:br/>
                  </w:r>
                  <w:r>
                    <w:rPr>
                      <w:rFonts w:ascii="仿宋_GB2312" w:hAnsi="仿宋_GB2312" w:cs="仿宋_GB2312" w:eastAsia="仿宋_GB2312"/>
                      <w:sz w:val="22"/>
                      <w:color w:val="000000"/>
                    </w:rPr>
                    <w:t xml:space="preserve"> 主档位：3+1；副变速：1</w:t>
                  </w:r>
                  <w:r>
                    <w:br/>
                  </w:r>
                  <w:r>
                    <w:rPr>
                      <w:rFonts w:ascii="仿宋_GB2312" w:hAnsi="仿宋_GB2312" w:cs="仿宋_GB2312" w:eastAsia="仿宋_GB2312"/>
                      <w:sz w:val="22"/>
                      <w:color w:val="000000"/>
                    </w:rPr>
                    <w:t xml:space="preserve"> 货箱尺寸≥（长×宽×高，2500×1200×1000mm；</w:t>
                  </w:r>
                  <w:r>
                    <w:br/>
                  </w:r>
                  <w:r>
                    <w:rPr>
                      <w:rFonts w:ascii="仿宋_GB2312" w:hAnsi="仿宋_GB2312" w:cs="仿宋_GB2312" w:eastAsia="仿宋_GB2312"/>
                      <w:sz w:val="22"/>
                      <w:color w:val="000000"/>
                    </w:rPr>
                    <w:t xml:space="preserve"> 驱动/卸料:车厢带液压驱动、自卸翻斗；</w:t>
                  </w:r>
                  <w:r>
                    <w:br/>
                  </w:r>
                  <w:r>
                    <w:rPr>
                      <w:rFonts w:ascii="仿宋_GB2312" w:hAnsi="仿宋_GB2312" w:cs="仿宋_GB2312" w:eastAsia="仿宋_GB2312"/>
                      <w:sz w:val="22"/>
                      <w:color w:val="000000"/>
                    </w:rPr>
                    <w:t xml:space="preserve"> 悬挂:钢板弹簧14A；</w:t>
                  </w:r>
                  <w:r>
                    <w:br/>
                  </w:r>
                  <w:r>
                    <w:rPr>
                      <w:rFonts w:ascii="仿宋_GB2312" w:hAnsi="仿宋_GB2312" w:cs="仿宋_GB2312" w:eastAsia="仿宋_GB2312"/>
                      <w:sz w:val="22"/>
                      <w:color w:val="000000"/>
                    </w:rPr>
                    <w:t xml:space="preserve"> 轮胎:农用花纹胎；</w:t>
                  </w:r>
                  <w:r>
                    <w:br/>
                  </w:r>
                  <w:r>
                    <w:rPr>
                      <w:rFonts w:ascii="仿宋_GB2312" w:hAnsi="仿宋_GB2312" w:cs="仿宋_GB2312" w:eastAsia="仿宋_GB2312"/>
                      <w:sz w:val="22"/>
                      <w:color w:val="000000"/>
                    </w:rPr>
                    <w:t xml:space="preserve"> 制动:液压制动+驻车手刹；</w:t>
                  </w:r>
                  <w:r>
                    <w:br/>
                  </w:r>
                  <w:r>
                    <w:rPr>
                      <w:rFonts w:ascii="仿宋_GB2312" w:hAnsi="仿宋_GB2312" w:cs="仿宋_GB2312" w:eastAsia="仿宋_GB2312"/>
                      <w:sz w:val="22"/>
                      <w:color w:val="000000"/>
                    </w:rPr>
                    <w:t xml:space="preserve"> 转向:机械转向</w:t>
                  </w:r>
                </w:p>
              </w:tc>
              <w:tc>
                <w:tcPr>
                  <w:tcW w:type="dxa" w:w="48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2套</w:t>
                  </w:r>
                </w:p>
              </w:tc>
            </w:tr>
            <w:tr>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458"/>
                  <w:gridSpan w:val="2"/>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玉米联合收获机</w:t>
                  </w:r>
                </w:p>
              </w:tc>
              <w:tc>
                <w:tcPr>
                  <w:tcW w:type="dxa" w:w="1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发动机额定功率：≥73.6kW；★</w:t>
                  </w:r>
                  <w:r>
                    <w:br/>
                  </w:r>
                  <w:r>
                    <w:rPr>
                      <w:rFonts w:ascii="仿宋_GB2312" w:hAnsi="仿宋_GB2312" w:cs="仿宋_GB2312" w:eastAsia="仿宋_GB2312"/>
                      <w:sz w:val="22"/>
                      <w:color w:val="000000"/>
                    </w:rPr>
                    <w:t xml:space="preserve"> 排放标准：第四阶段；</w:t>
                  </w:r>
                  <w:r>
                    <w:br/>
                  </w:r>
                  <w:r>
                    <w:rPr>
                      <w:rFonts w:ascii="仿宋_GB2312" w:hAnsi="仿宋_GB2312" w:cs="仿宋_GB2312" w:eastAsia="仿宋_GB2312"/>
                      <w:sz w:val="22"/>
                      <w:color w:val="000000"/>
                    </w:rPr>
                    <w:t xml:space="preserve"> 工作行数：≥2行；</w:t>
                  </w:r>
                  <w:r>
                    <w:br/>
                  </w:r>
                  <w:r>
                    <w:rPr>
                      <w:rFonts w:ascii="仿宋_GB2312" w:hAnsi="仿宋_GB2312" w:cs="仿宋_GB2312" w:eastAsia="仿宋_GB2312"/>
                      <w:sz w:val="22"/>
                      <w:color w:val="000000"/>
                    </w:rPr>
                    <w:t xml:space="preserve"> 工作效率：≥3亩每小时；★</w:t>
                  </w:r>
                  <w:r>
                    <w:br/>
                  </w:r>
                  <w:r>
                    <w:rPr>
                      <w:rFonts w:ascii="仿宋_GB2312" w:hAnsi="仿宋_GB2312" w:cs="仿宋_GB2312" w:eastAsia="仿宋_GB2312"/>
                      <w:sz w:val="22"/>
                      <w:color w:val="000000"/>
                    </w:rPr>
                    <w:t xml:space="preserve"> 油耗≥6L/亩</w:t>
                  </w:r>
                  <w:r>
                    <w:br/>
                  </w:r>
                  <w:r>
                    <w:rPr>
                      <w:rFonts w:ascii="仿宋_GB2312" w:hAnsi="仿宋_GB2312" w:cs="仿宋_GB2312" w:eastAsia="仿宋_GB2312"/>
                      <w:sz w:val="22"/>
                      <w:color w:val="000000"/>
                    </w:rPr>
                    <w:t xml:space="preserve"> 行距：≥600mm；</w:t>
                  </w:r>
                  <w:r>
                    <w:br/>
                  </w:r>
                  <w:r>
                    <w:rPr>
                      <w:rFonts w:ascii="仿宋_GB2312" w:hAnsi="仿宋_GB2312" w:cs="仿宋_GB2312" w:eastAsia="仿宋_GB2312"/>
                      <w:sz w:val="22"/>
                      <w:color w:val="000000"/>
                    </w:rPr>
                    <w:t xml:space="preserve"> 工作幅宽：≥1300mm；</w:t>
                  </w:r>
                  <w:r>
                    <w:br/>
                  </w:r>
                  <w:r>
                    <w:rPr>
                      <w:rFonts w:ascii="仿宋_GB2312" w:hAnsi="仿宋_GB2312" w:cs="仿宋_GB2312" w:eastAsia="仿宋_GB2312"/>
                      <w:sz w:val="22"/>
                      <w:color w:val="000000"/>
                    </w:rPr>
                    <w:t xml:space="preserve"> 外形尺寸:≥5350×1720×2680mm；</w:t>
                  </w:r>
                  <w:r>
                    <w:br/>
                  </w:r>
                  <w:r>
                    <w:rPr>
                      <w:rFonts w:ascii="仿宋_GB2312" w:hAnsi="仿宋_GB2312" w:cs="仿宋_GB2312" w:eastAsia="仿宋_GB2312"/>
                      <w:sz w:val="22"/>
                      <w:color w:val="000000"/>
                    </w:rPr>
                    <w:t xml:space="preserve"> 结构型式：自走轮式 ；</w:t>
                  </w:r>
                  <w:r>
                    <w:br/>
                  </w:r>
                  <w:r>
                    <w:rPr>
                      <w:rFonts w:ascii="仿宋_GB2312" w:hAnsi="仿宋_GB2312" w:cs="仿宋_GB2312" w:eastAsia="仿宋_GB2312"/>
                      <w:sz w:val="22"/>
                      <w:color w:val="000000"/>
                    </w:rPr>
                    <w:t xml:space="preserve"> 驱动形式：四驱；</w:t>
                  </w:r>
                  <w:r>
                    <w:br/>
                  </w:r>
                  <w:r>
                    <w:rPr>
                      <w:rFonts w:ascii="仿宋_GB2312" w:hAnsi="仿宋_GB2312" w:cs="仿宋_GB2312" w:eastAsia="仿宋_GB2312"/>
                      <w:sz w:val="22"/>
                      <w:color w:val="000000"/>
                    </w:rPr>
                    <w:t xml:space="preserve"> 最小离地间隙：≥220mm；</w:t>
                  </w:r>
                  <w:r>
                    <w:br/>
                  </w:r>
                  <w:r>
                    <w:rPr>
                      <w:rFonts w:ascii="仿宋_GB2312" w:hAnsi="仿宋_GB2312" w:cs="仿宋_GB2312" w:eastAsia="仿宋_GB2312"/>
                      <w:sz w:val="22"/>
                      <w:color w:val="000000"/>
                    </w:rPr>
                    <w:t xml:space="preserve"> 果穗升运器结构型式：刮板式；</w:t>
                  </w:r>
                  <w:r>
                    <w:br/>
                  </w:r>
                  <w:r>
                    <w:rPr>
                      <w:rFonts w:ascii="仿宋_GB2312" w:hAnsi="仿宋_GB2312" w:cs="仿宋_GB2312" w:eastAsia="仿宋_GB2312"/>
                      <w:sz w:val="22"/>
                      <w:color w:val="000000"/>
                    </w:rPr>
                    <w:t xml:space="preserve"> 摘穗机构型式：板式；</w:t>
                  </w:r>
                  <w:r>
                    <w:br/>
                  </w:r>
                  <w:r>
                    <w:rPr>
                      <w:rFonts w:ascii="仿宋_GB2312" w:hAnsi="仿宋_GB2312" w:cs="仿宋_GB2312" w:eastAsia="仿宋_GB2312"/>
                      <w:sz w:val="22"/>
                      <w:color w:val="000000"/>
                    </w:rPr>
                    <w:t xml:space="preserve"> 剥皮机构型式：全胶辊；</w:t>
                  </w:r>
                  <w:r>
                    <w:br/>
                  </w:r>
                  <w:r>
                    <w:rPr>
                      <w:rFonts w:ascii="仿宋_GB2312" w:hAnsi="仿宋_GB2312" w:cs="仿宋_GB2312" w:eastAsia="仿宋_GB2312"/>
                      <w:sz w:val="22"/>
                      <w:color w:val="000000"/>
                    </w:rPr>
                    <w:t xml:space="preserve"> 割台型式：卧式；</w:t>
                  </w:r>
                  <w:r>
                    <w:br/>
                  </w:r>
                  <w:r>
                    <w:rPr>
                      <w:rFonts w:ascii="仿宋_GB2312" w:hAnsi="仿宋_GB2312" w:cs="仿宋_GB2312" w:eastAsia="仿宋_GB2312"/>
                      <w:sz w:val="22"/>
                      <w:color w:val="000000"/>
                    </w:rPr>
                    <w:t xml:space="preserve"> 变速机构型式：机械三挡+静液压无级变速；</w:t>
                  </w:r>
                  <w:r>
                    <w:br/>
                  </w:r>
                  <w:r>
                    <w:rPr>
                      <w:rFonts w:ascii="仿宋_GB2312" w:hAnsi="仿宋_GB2312" w:cs="仿宋_GB2312" w:eastAsia="仿宋_GB2312"/>
                      <w:sz w:val="22"/>
                      <w:color w:val="000000"/>
                    </w:rPr>
                    <w:t xml:space="preserve"> 整机重量：≥3500kg；</w:t>
                  </w:r>
                  <w:r>
                    <w:br/>
                  </w:r>
                  <w:r>
                    <w:rPr>
                      <w:rFonts w:ascii="仿宋_GB2312" w:hAnsi="仿宋_GB2312" w:cs="仿宋_GB2312" w:eastAsia="仿宋_GB2312"/>
                      <w:sz w:val="22"/>
                      <w:color w:val="000000"/>
                    </w:rPr>
                    <w:t xml:space="preserve"> “★”提供产品检测报告</w:t>
                  </w: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r>
            <w:tr>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58"/>
                  <w:gridSpan w:val="2"/>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中型稻油联合收割机</w:t>
                  </w:r>
                </w:p>
              </w:tc>
              <w:tc>
                <w:tcPr>
                  <w:tcW w:type="dxa" w:w="1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发动机标定功率：≥92kw国四；★</w:t>
                  </w:r>
                  <w:r>
                    <w:br/>
                  </w:r>
                  <w:r>
                    <w:rPr>
                      <w:rFonts w:ascii="仿宋_GB2312" w:hAnsi="仿宋_GB2312" w:cs="仿宋_GB2312" w:eastAsia="仿宋_GB2312"/>
                      <w:sz w:val="22"/>
                      <w:color w:val="000000"/>
                    </w:rPr>
                    <w:t xml:space="preserve"> 排放标准：第四阶段；</w:t>
                  </w:r>
                  <w:r>
                    <w:br/>
                  </w:r>
                  <w:r>
                    <w:rPr>
                      <w:rFonts w:ascii="仿宋_GB2312" w:hAnsi="仿宋_GB2312" w:cs="仿宋_GB2312" w:eastAsia="仿宋_GB2312"/>
                      <w:sz w:val="22"/>
                      <w:color w:val="000000"/>
                    </w:rPr>
                    <w:t xml:space="preserve"> 标定转速：r/min:2200；</w:t>
                  </w:r>
                  <w:r>
                    <w:br/>
                  </w:r>
                  <w:r>
                    <w:rPr>
                      <w:rFonts w:ascii="仿宋_GB2312" w:hAnsi="仿宋_GB2312" w:cs="仿宋_GB2312" w:eastAsia="仿宋_GB2312"/>
                      <w:sz w:val="22"/>
                      <w:color w:val="000000"/>
                    </w:rPr>
                    <w:t xml:space="preserve"> 喂入量：≥6.0kg/S；★</w:t>
                  </w:r>
                  <w:r>
                    <w:br/>
                  </w:r>
                  <w:r>
                    <w:rPr>
                      <w:rFonts w:ascii="仿宋_GB2312" w:hAnsi="仿宋_GB2312" w:cs="仿宋_GB2312" w:eastAsia="仿宋_GB2312"/>
                      <w:sz w:val="22"/>
                      <w:color w:val="000000"/>
                    </w:rPr>
                    <w:t xml:space="preserve"> 整机外形尺寸(长*宽*高):5930×2655×2980mm；</w:t>
                  </w:r>
                  <w:r>
                    <w:br/>
                  </w:r>
                  <w:r>
                    <w:rPr>
                      <w:rFonts w:ascii="仿宋_GB2312" w:hAnsi="仿宋_GB2312" w:cs="仿宋_GB2312" w:eastAsia="仿宋_GB2312"/>
                      <w:sz w:val="22"/>
                      <w:color w:val="000000"/>
                    </w:rPr>
                    <w:t xml:space="preserve"> 整机质量:≥4300Kg；</w:t>
                  </w:r>
                  <w:r>
                    <w:br/>
                  </w:r>
                  <w:r>
                    <w:rPr>
                      <w:rFonts w:ascii="仿宋_GB2312" w:hAnsi="仿宋_GB2312" w:cs="仿宋_GB2312" w:eastAsia="仿宋_GB2312"/>
                      <w:sz w:val="22"/>
                      <w:color w:val="000000"/>
                    </w:rPr>
                    <w:t xml:space="preserve"> 割台工作幅宽:≥2200mm；</w:t>
                  </w:r>
                  <w:r>
                    <w:br/>
                  </w:r>
                  <w:r>
                    <w:rPr>
                      <w:rFonts w:ascii="仿宋_GB2312" w:hAnsi="仿宋_GB2312" w:cs="仿宋_GB2312" w:eastAsia="仿宋_GB2312"/>
                      <w:sz w:val="22"/>
                      <w:color w:val="000000"/>
                    </w:rPr>
                    <w:t xml:space="preserve"> 最小离地间隙:≥320mm；</w:t>
                  </w:r>
                  <w:r>
                    <w:br/>
                  </w:r>
                  <w:r>
                    <w:rPr>
                      <w:rFonts w:ascii="仿宋_GB2312" w:hAnsi="仿宋_GB2312" w:cs="仿宋_GB2312" w:eastAsia="仿宋_GB2312"/>
                      <w:sz w:val="22"/>
                      <w:color w:val="000000"/>
                    </w:rPr>
                    <w:t xml:space="preserve"> 脱粒滚筒布置方式：纵向布置；</w:t>
                  </w:r>
                  <w:r>
                    <w:br/>
                  </w:r>
                  <w:r>
                    <w:rPr>
                      <w:rFonts w:ascii="仿宋_GB2312" w:hAnsi="仿宋_GB2312" w:cs="仿宋_GB2312" w:eastAsia="仿宋_GB2312"/>
                      <w:sz w:val="22"/>
                      <w:color w:val="000000"/>
                    </w:rPr>
                    <w:t xml:space="preserve"> 主脱粒滚筒外形尺寸(外径*长度)mm:Φ620×2210；</w:t>
                  </w:r>
                  <w:r>
                    <w:br/>
                  </w:r>
                  <w:r>
                    <w:rPr>
                      <w:rFonts w:ascii="仿宋_GB2312" w:hAnsi="仿宋_GB2312" w:cs="仿宋_GB2312" w:eastAsia="仿宋_GB2312"/>
                      <w:sz w:val="22"/>
                      <w:color w:val="000000"/>
                    </w:rPr>
                    <w:t xml:space="preserve"> 风扇直径mm:Φ400；</w:t>
                  </w:r>
                  <w:r>
                    <w:br/>
                  </w:r>
                  <w:r>
                    <w:rPr>
                      <w:rFonts w:ascii="仿宋_GB2312" w:hAnsi="仿宋_GB2312" w:cs="仿宋_GB2312" w:eastAsia="仿宋_GB2312"/>
                      <w:sz w:val="22"/>
                      <w:color w:val="000000"/>
                    </w:rPr>
                    <w:t xml:space="preserve"> 履带节距*节数*宽数：90mm*58节*500mm</w:t>
                  </w:r>
                  <w:r>
                    <w:br/>
                  </w:r>
                  <w:r>
                    <w:rPr>
                      <w:rFonts w:ascii="仿宋_GB2312" w:hAnsi="仿宋_GB2312" w:cs="仿宋_GB2312" w:eastAsia="仿宋_GB2312"/>
                      <w:sz w:val="22"/>
                      <w:color w:val="000000"/>
                    </w:rPr>
                    <w:t xml:space="preserve"> 变速机构型式：HST+机械变速箱；</w:t>
                  </w:r>
                  <w:r>
                    <w:br/>
                  </w:r>
                  <w:r>
                    <w:rPr>
                      <w:rFonts w:ascii="仿宋_GB2312" w:hAnsi="仿宋_GB2312" w:cs="仿宋_GB2312" w:eastAsia="仿宋_GB2312"/>
                      <w:sz w:val="22"/>
                      <w:color w:val="000000"/>
                    </w:rPr>
                    <w:t xml:space="preserve"> 驾驶室类型:普通式；★</w:t>
                  </w:r>
                  <w:r>
                    <w:br/>
                  </w:r>
                  <w:r>
                    <w:rPr>
                      <w:rFonts w:ascii="仿宋_GB2312" w:hAnsi="仿宋_GB2312" w:cs="仿宋_GB2312" w:eastAsia="仿宋_GB2312"/>
                      <w:sz w:val="22"/>
                      <w:color w:val="000000"/>
                    </w:rPr>
                    <w:t xml:space="preserve"> 卸粮方式：机械自动卸粮</w:t>
                  </w:r>
                  <w:r>
                    <w:br/>
                  </w:r>
                  <w:r>
                    <w:rPr>
                      <w:rFonts w:ascii="仿宋_GB2312" w:hAnsi="仿宋_GB2312" w:cs="仿宋_GB2312" w:eastAsia="仿宋_GB2312"/>
                      <w:sz w:val="22"/>
                      <w:color w:val="000000"/>
                    </w:rPr>
                    <w:t xml:space="preserve"> “★”提供产品检测报告</w:t>
                  </w: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供货安装期限15天，质保期1年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略阳县五龙洞镇</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1、采用转账支票或银行电汇形式提交的投标保证金必须从其基本账户转出，投标供应商在缴纳保证金时应注明项目名 称。2、采用银行保函形式提交投标保证金的，应用基本账户保函的银行或市级银行。注：1.须将原件于投标截止时间前一个 工作日内交至代理机构财务处换取保证金收据，2.保证金收据换取地址为:汉中市汉台区竹园天玺办公楼11楼。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 ，供应商提供《汉中市政府采购供应商资格承诺函》；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报价是否超过竞争性谈判文件中规定的预算金额或者最高限价</w:t>
            </w:r>
          </w:p>
        </w:tc>
        <w:tc>
          <w:tcPr>
            <w:tcW w:type="dxa" w:w="3322"/>
          </w:tcPr>
          <w:p>
            <w:pPr>
              <w:pStyle w:val="null3"/>
            </w:pPr>
            <w:r>
              <w:rPr>
                <w:rFonts w:ascii="仿宋_GB2312" w:hAnsi="仿宋_GB2312" w:cs="仿宋_GB2312" w:eastAsia="仿宋_GB2312"/>
              </w:rPr>
              <w:t>报价未超过竞争性谈判文件中规定的预算金额或者最高限价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响应文件封面 汉中市政府采购供应商资格承诺函.pdf 中小企业声明函 残疾人福利性单位声明函 标的清单 报价表 响应函 法定代表人证明书及授权委托书.pdf 监狱企业的证明文件 控股承诺.docx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产品技术参数</w:t>
            </w:r>
          </w:p>
        </w:tc>
        <w:tc>
          <w:tcPr>
            <w:tcW w:type="dxa" w:w="3322"/>
          </w:tcPr>
          <w:p>
            <w:pPr>
              <w:pStyle w:val="null3"/>
            </w:pPr>
            <w:r>
              <w:rPr>
                <w:rFonts w:ascii="仿宋_GB2312" w:hAnsi="仿宋_GB2312" w:cs="仿宋_GB2312" w:eastAsia="仿宋_GB2312"/>
              </w:rPr>
              <w:t>产品技术参数满足采购文件要求</w:t>
            </w:r>
          </w:p>
        </w:tc>
        <w:tc>
          <w:tcPr>
            <w:tcW w:type="dxa" w:w="1661"/>
          </w:tcPr>
          <w:p>
            <w:pPr>
              <w:pStyle w:val="null3"/>
            </w:pPr>
            <w:r>
              <w:rPr>
                <w:rFonts w:ascii="仿宋_GB2312" w:hAnsi="仿宋_GB2312" w:cs="仿宋_GB2312" w:eastAsia="仿宋_GB2312"/>
              </w:rPr>
              <w:t>产品技术参数表 分项报价表.docx 商务应答表 项目整体实施方案.docx 供应商认为需要说明的其他内容.docx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详见附件：项目整体实施方案.docx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