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版本号：ZCSP-略阳县-2026-0002120260423001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徐家坪红色教育基地市场监督管理所附属用房项目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ZCSP-略阳县-2026-00021</w:t>
      </w:r>
      <w:r>
        <w:br/>
      </w:r>
      <w:r>
        <w:br/>
      </w:r>
      <w:r>
        <w:br/>
      </w:r>
    </w:p>
    <w:p>
      <w:pPr>
        <w:pStyle w:val="null3"/>
        <w:jc w:val="center"/>
        <w:outlineLvl w:val="2"/>
      </w:pPr>
      <w:r>
        <w:rPr>
          <w:rFonts w:ascii="仿宋_GB2312" w:hAnsi="仿宋_GB2312" w:cs="仿宋_GB2312" w:eastAsia="仿宋_GB2312"/>
          <w:sz w:val="28"/>
          <w:b/>
        </w:rPr>
        <w:t>略阳县市场监督管理局</w:t>
      </w:r>
    </w:p>
    <w:p>
      <w:pPr>
        <w:pStyle w:val="null3"/>
        <w:jc w:val="center"/>
        <w:outlineLvl w:val="2"/>
      </w:pPr>
      <w:r>
        <w:rPr>
          <w:rFonts w:ascii="仿宋_GB2312" w:hAnsi="仿宋_GB2312" w:cs="仿宋_GB2312" w:eastAsia="仿宋_GB2312"/>
          <w:sz w:val="28"/>
          <w:b/>
        </w:rPr>
        <w:t>横信项目管理有限公司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横信项目管理有限公司</w:t>
      </w:r>
      <w:r>
        <w:rPr>
          <w:rFonts w:ascii="仿宋_GB2312" w:hAnsi="仿宋_GB2312" w:cs="仿宋_GB2312" w:eastAsia="仿宋_GB2312"/>
        </w:rPr>
        <w:t>（以下简称“代理机构”）受</w:t>
      </w:r>
      <w:r>
        <w:rPr>
          <w:rFonts w:ascii="仿宋_GB2312" w:hAnsi="仿宋_GB2312" w:cs="仿宋_GB2312" w:eastAsia="仿宋_GB2312"/>
        </w:rPr>
        <w:t>略阳县市场监督管理局</w:t>
      </w:r>
      <w:r>
        <w:rPr>
          <w:rFonts w:ascii="仿宋_GB2312" w:hAnsi="仿宋_GB2312" w:cs="仿宋_GB2312" w:eastAsia="仿宋_GB2312"/>
        </w:rPr>
        <w:t>委托，拟对</w:t>
      </w:r>
      <w:r>
        <w:rPr>
          <w:rFonts w:ascii="仿宋_GB2312" w:hAnsi="仿宋_GB2312" w:cs="仿宋_GB2312" w:eastAsia="仿宋_GB2312"/>
        </w:rPr>
        <w:t>徐家坪红色教育基地市场监督管理所附属用房项目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ZCSP-略阳县-2026-00021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徐家坪红色教育基地市场监督管理所附属用房项目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地点位于略阳县徐家坪镇。主要建设内容为：新建附属用房、科普回廊、室外场地硬化铺装、绿化工程及配套的水电安装工程。其中附属用房檐高7.5m，地上2层，基础类型为条形基础，建筑结构形式为砖混结构，建筑面积93.44㎡。具体建设内容以工程量清单描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采购包1（徐家坪红色教育基地市场监督管理所附属用房项目）：属于专门面向中小企业采购。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证明书及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3、供应商资格要求：供应商具有行政主管部门核发的建筑工程施工总承包三级（含三级）及以上资质，且具有有效的安全生产许可证，供应商资质信息应在“陕西省住房和城乡建设厅网（http://js.shaanxi.gov.cn/ ）”或“陕西省建筑市场监管与诚信信息发布平台”或“全国建筑市场监管公共服务平台”可查询；</w:t>
      </w:r>
    </w:p>
    <w:p>
      <w:pPr>
        <w:pStyle w:val="null3"/>
      </w:pPr>
      <w:r>
        <w:rPr>
          <w:rFonts w:ascii="仿宋_GB2312" w:hAnsi="仿宋_GB2312" w:cs="仿宋_GB2312" w:eastAsia="仿宋_GB2312"/>
        </w:rPr>
        <w:t>4、供应商拟派项目负责人要求：拟派项目经理须具备建筑工程专业二级（含二级）以上注册建造师资格和安全生产考核合格B证，且无在建项目（需提供无在建承诺书），项目负责人信息应在“陕西省住房和城乡建设厅网（http://js.shaanxi.gov.cn/ ）”或“陕西省建筑市场监管与诚信信息发布平台”或“全国建筑市场监管公共服务平台”可查询；</w:t>
      </w:r>
    </w:p>
    <w:p>
      <w:pPr>
        <w:pStyle w:val="null3"/>
      </w:pPr>
      <w:r>
        <w:rPr>
          <w:rFonts w:ascii="仿宋_GB2312" w:hAnsi="仿宋_GB2312" w:cs="仿宋_GB2312" w:eastAsia="仿宋_GB2312"/>
        </w:rPr>
        <w:t>5、信誉要求：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6、其他要求：本项目不接受联合体磋商（提供非联合体声明）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略阳县狮凤路中段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0916-4823666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横信项目管理有限公司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陕西省西安市经济技术开发区首创国际城八期64栋楼307室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18609162678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采购包1：681,691.18元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开户名称：横信项目管理有限公司汉中分公司</w:t>
            </w:r>
          </w:p>
          <w:p>
            <w:pPr>
              <w:pStyle w:val="null3"/>
            </w:pPr>
            <w:r>
              <w:rPr>
                <w:rFonts w:ascii="仿宋_GB2312" w:hAnsi="仿宋_GB2312" w:cs="仿宋_GB2312" w:eastAsia="仿宋_GB2312"/>
              </w:rPr>
              <w:t>开户银行：中国农业银行股份有限公司汉中东一环路支行 （或东一环路支行）</w:t>
            </w:r>
          </w:p>
          <w:p>
            <w:pPr>
              <w:pStyle w:val="null3"/>
            </w:pPr>
            <w:r>
              <w:rPr>
                <w:rFonts w:ascii="仿宋_GB2312" w:hAnsi="仿宋_GB2312" w:cs="仿宋_GB2312" w:eastAsia="仿宋_GB2312"/>
              </w:rPr>
              <w:t>银行账号：26650401040002274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后（优惠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略阳县市场监督管理局</w:t>
      </w:r>
      <w:r>
        <w:rPr>
          <w:rFonts w:ascii="仿宋_GB2312" w:hAnsi="仿宋_GB2312" w:cs="仿宋_GB2312" w:eastAsia="仿宋_GB2312"/>
        </w:rPr>
        <w:t>和</w:t>
      </w:r>
      <w:r>
        <w:rPr>
          <w:rFonts w:ascii="仿宋_GB2312" w:hAnsi="仿宋_GB2312" w:cs="仿宋_GB2312" w:eastAsia="仿宋_GB2312"/>
        </w:rPr>
        <w:t>横信项目管理有限公司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横信项目管理有限公司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横信项目管理有限公司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联系人：罗帆</w:t>
      </w:r>
    </w:p>
    <w:p>
      <w:pPr>
        <w:pStyle w:val="null3"/>
      </w:pPr>
      <w:r>
        <w:rPr>
          <w:rFonts w:ascii="仿宋_GB2312" w:hAnsi="仿宋_GB2312" w:cs="仿宋_GB2312" w:eastAsia="仿宋_GB2312"/>
        </w:rPr>
        <w:t>联系电话：18609162678</w:t>
      </w:r>
    </w:p>
    <w:p>
      <w:pPr>
        <w:pStyle w:val="null3"/>
      </w:pPr>
      <w:r>
        <w:rPr>
          <w:rFonts w:ascii="仿宋_GB2312" w:hAnsi="仿宋_GB2312" w:cs="仿宋_GB2312" w:eastAsia="仿宋_GB2312"/>
        </w:rPr>
        <w:t>地址：陕西省西安市经济技术开发区首创国际城八期64栋楼307室</w:t>
      </w:r>
    </w:p>
    <w:p>
      <w:pPr>
        <w:pStyle w:val="null3"/>
      </w:pPr>
      <w:r>
        <w:rPr>
          <w:rFonts w:ascii="仿宋_GB2312" w:hAnsi="仿宋_GB2312" w:cs="仿宋_GB2312" w:eastAsia="仿宋_GB2312"/>
        </w:rPr>
        <w:t>邮编： 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681,691.18</w:t>
      </w:r>
    </w:p>
    <w:p>
      <w:pPr>
        <w:pStyle w:val="null3"/>
      </w:pPr>
      <w:r>
        <w:rPr>
          <w:rFonts w:ascii="仿宋_GB2312" w:hAnsi="仿宋_GB2312" w:cs="仿宋_GB2312" w:eastAsia="仿宋_GB2312"/>
        </w:rPr>
        <w:t>采购包最高限价（元）: 681,691.18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徐家坪红色教育基地市场监督管理所附属用房项目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681,691.18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标的名称：徐家坪红色教育基地市场监督管理所附属用房项目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8"/>
              </w:rPr>
              <w:t>一、</w:t>
            </w:r>
            <w:r>
              <w:rPr>
                <w:rFonts w:ascii="仿宋_GB2312" w:hAnsi="仿宋_GB2312" w:cs="仿宋_GB2312" w:eastAsia="仿宋_GB2312"/>
                <w:sz w:val="28"/>
                <w:b/>
              </w:rPr>
              <w:t>工程概况</w:t>
            </w:r>
          </w:p>
          <w:p>
            <w:pPr>
              <w:pStyle w:val="null3"/>
              <w:spacing w:before="105" w:after="105"/>
              <w:ind w:firstLine="560"/>
              <w:jc w:val="both"/>
            </w:pPr>
            <w:r>
              <w:rPr>
                <w:rFonts w:ascii="仿宋_GB2312" w:hAnsi="仿宋_GB2312" w:cs="仿宋_GB2312" w:eastAsia="仿宋_GB2312"/>
                <w:sz w:val="28"/>
              </w:rPr>
              <w:t>建设地点位于略阳县徐家坪镇。主要建设内容为：新建附属用房、科普回廊、室外场地硬化铺装、绿化工程及配套的水电安装工程。其中附属用房檐高</w:t>
            </w:r>
            <w:r>
              <w:rPr>
                <w:rFonts w:ascii="仿宋_GB2312" w:hAnsi="仿宋_GB2312" w:cs="仿宋_GB2312" w:eastAsia="仿宋_GB2312"/>
                <w:sz w:val="28"/>
              </w:rPr>
              <w:t>7.5m，地上2层，基础类型为条形基础，建筑结构形式为砖混结构，建筑面积93.44㎡。具体建设内容以工程量清单描述为准。</w:t>
            </w:r>
          </w:p>
          <w:p>
            <w:pPr>
              <w:pStyle w:val="null3"/>
              <w:spacing w:before="105" w:after="105"/>
              <w:jc w:val="left"/>
            </w:pPr>
            <w:r>
              <w:rPr>
                <w:rFonts w:ascii="仿宋_GB2312" w:hAnsi="仿宋_GB2312" w:cs="仿宋_GB2312" w:eastAsia="仿宋_GB2312"/>
                <w:sz w:val="28"/>
                <w:b/>
              </w:rPr>
              <w:t>二、编制依据</w:t>
            </w:r>
          </w:p>
          <w:p>
            <w:pPr>
              <w:pStyle w:val="null3"/>
              <w:spacing w:before="105" w:after="105"/>
              <w:ind w:firstLine="560"/>
              <w:jc w:val="both"/>
            </w:pPr>
            <w:r>
              <w:rPr>
                <w:rFonts w:ascii="仿宋_GB2312" w:hAnsi="仿宋_GB2312" w:cs="仿宋_GB2312" w:eastAsia="仿宋_GB2312"/>
                <w:sz w:val="28"/>
              </w:rPr>
              <w:t>1.徐家坪红色教育基地市场监督管理所附属用房项目施工图纸；</w:t>
            </w:r>
          </w:p>
          <w:p>
            <w:pPr>
              <w:pStyle w:val="null3"/>
              <w:spacing w:before="105" w:after="105"/>
              <w:ind w:firstLine="560"/>
              <w:jc w:val="both"/>
            </w:pPr>
            <w:r>
              <w:rPr>
                <w:rFonts w:ascii="仿宋_GB2312" w:hAnsi="仿宋_GB2312" w:cs="仿宋_GB2312" w:eastAsia="仿宋_GB2312"/>
                <w:sz w:val="28"/>
              </w:rPr>
              <w:t>2.陕建标发〔2025〕2号文颁布的《陕西省建设工程工程量清单计价标准及计算标准2025》；</w:t>
            </w:r>
          </w:p>
          <w:p>
            <w:pPr>
              <w:pStyle w:val="null3"/>
              <w:spacing w:before="105" w:after="105"/>
              <w:ind w:firstLine="560"/>
              <w:jc w:val="both"/>
            </w:pPr>
            <w:r>
              <w:rPr>
                <w:rFonts w:ascii="仿宋_GB2312" w:hAnsi="仿宋_GB2312" w:cs="仿宋_GB2312" w:eastAsia="仿宋_GB2312"/>
                <w:sz w:val="28"/>
              </w:rPr>
              <w:t>3.陕建管发〔2025〕10号文颁布的《陕西省房屋建筑与装饰工程消耗量定额（2025）》、《陕西省通用安装工程消耗量定额（2025）》、《陕西省园林绿化工程消耗量定额（2025）》、《陕西省建设工程费用规则（2025）》及相关配套文件；</w:t>
            </w:r>
          </w:p>
          <w:p>
            <w:pPr>
              <w:pStyle w:val="null3"/>
              <w:spacing w:before="105" w:after="105"/>
              <w:ind w:firstLine="560"/>
              <w:jc w:val="both"/>
            </w:pPr>
            <w:r>
              <w:rPr>
                <w:rFonts w:ascii="仿宋_GB2312" w:hAnsi="仿宋_GB2312" w:cs="仿宋_GB2312" w:eastAsia="仿宋_GB2312"/>
                <w:sz w:val="28"/>
              </w:rPr>
              <w:t>4.陕建管发〔2025〕10号文颁布的《陕西省房屋建筑与装饰工程基价表》、《陕西省通用安装工程基价表》、《陕西省园林绿化工程基价表》；</w:t>
            </w:r>
          </w:p>
          <w:p>
            <w:pPr>
              <w:pStyle w:val="null3"/>
              <w:spacing w:before="105" w:after="105"/>
              <w:ind w:firstLine="560"/>
              <w:jc w:val="both"/>
            </w:pPr>
            <w:r>
              <w:rPr>
                <w:rFonts w:ascii="仿宋_GB2312" w:hAnsi="仿宋_GB2312" w:cs="仿宋_GB2312" w:eastAsia="仿宋_GB2312"/>
                <w:sz w:val="28"/>
              </w:rPr>
              <w:t>5.采用广联达云计价平台GCCP7.0；</w:t>
            </w:r>
          </w:p>
          <w:p>
            <w:pPr>
              <w:pStyle w:val="null3"/>
              <w:spacing w:before="105" w:after="105"/>
              <w:ind w:firstLine="560"/>
              <w:jc w:val="both"/>
            </w:pPr>
            <w:r>
              <w:rPr>
                <w:rFonts w:ascii="仿宋_GB2312" w:hAnsi="仿宋_GB2312" w:cs="仿宋_GB2312" w:eastAsia="仿宋_GB2312"/>
                <w:sz w:val="28"/>
              </w:rPr>
              <w:t>6.材料价参考《汉中建设工程造价信息》2026年第1期。</w:t>
            </w:r>
          </w:p>
          <w:p>
            <w:pPr>
              <w:pStyle w:val="null3"/>
              <w:spacing w:before="105" w:after="105"/>
              <w:jc w:val="left"/>
            </w:pPr>
            <w:r>
              <w:rPr>
                <w:rFonts w:ascii="仿宋_GB2312" w:hAnsi="仿宋_GB2312" w:cs="仿宋_GB2312" w:eastAsia="仿宋_GB2312"/>
                <w:sz w:val="28"/>
                <w:b/>
              </w:rPr>
              <w:t>三、问题说明</w:t>
            </w:r>
          </w:p>
          <w:p>
            <w:pPr>
              <w:pStyle w:val="null3"/>
              <w:spacing w:before="105" w:after="105"/>
              <w:ind w:firstLine="560"/>
              <w:jc w:val="both"/>
            </w:pPr>
            <w:r>
              <w:rPr>
                <w:rFonts w:ascii="仿宋_GB2312" w:hAnsi="仿宋_GB2312" w:cs="仿宋_GB2312" w:eastAsia="仿宋_GB2312"/>
                <w:sz w:val="28"/>
              </w:rPr>
              <w:t>1.土方外运运距，暂按3km计算；</w:t>
            </w:r>
          </w:p>
          <w:p>
            <w:pPr>
              <w:pStyle w:val="null3"/>
              <w:spacing w:before="105" w:after="105"/>
              <w:ind w:firstLine="560"/>
              <w:jc w:val="both"/>
            </w:pPr>
            <w:r>
              <w:rPr>
                <w:rFonts w:ascii="仿宋_GB2312" w:hAnsi="仿宋_GB2312" w:cs="仿宋_GB2312" w:eastAsia="仿宋_GB2312"/>
                <w:sz w:val="28"/>
              </w:rPr>
              <w:t>2.明档打荷台做法未注明，暂按5000元/项计算；</w:t>
            </w:r>
          </w:p>
          <w:p>
            <w:pPr>
              <w:pStyle w:val="null3"/>
              <w:spacing w:before="105" w:after="105"/>
              <w:ind w:firstLine="560"/>
              <w:jc w:val="both"/>
            </w:pPr>
            <w:r>
              <w:rPr>
                <w:rFonts w:ascii="仿宋_GB2312" w:hAnsi="仿宋_GB2312" w:cs="仿宋_GB2312" w:eastAsia="仿宋_GB2312"/>
                <w:sz w:val="28"/>
              </w:rPr>
              <w:t>3.安全玻璃雨棚做法未注明，暂按500元/㎡计算；</w:t>
            </w:r>
          </w:p>
          <w:p>
            <w:pPr>
              <w:pStyle w:val="null3"/>
              <w:spacing w:before="105" w:after="105"/>
              <w:ind w:firstLine="560"/>
              <w:jc w:val="both"/>
            </w:pPr>
            <w:r>
              <w:rPr>
                <w:rFonts w:ascii="仿宋_GB2312" w:hAnsi="仿宋_GB2312" w:cs="仿宋_GB2312" w:eastAsia="仿宋_GB2312"/>
                <w:sz w:val="28"/>
              </w:rPr>
              <w:t>4.附属用房首层餐厅桌椅及厨房操作台未计算；</w:t>
            </w:r>
          </w:p>
          <w:p>
            <w:pPr>
              <w:pStyle w:val="null3"/>
              <w:spacing w:before="105" w:after="105"/>
              <w:ind w:firstLine="560"/>
              <w:jc w:val="both"/>
            </w:pPr>
            <w:r>
              <w:rPr>
                <w:rFonts w:ascii="仿宋_GB2312" w:hAnsi="仿宋_GB2312" w:cs="仿宋_GB2312" w:eastAsia="仿宋_GB2312"/>
                <w:sz w:val="28"/>
              </w:rPr>
              <w:t>5.科普回廊墙面上的小字未注明材质，暂按不锈钢金属字计算；</w:t>
            </w:r>
          </w:p>
          <w:p>
            <w:pPr>
              <w:pStyle w:val="null3"/>
              <w:spacing w:before="105" w:after="105"/>
              <w:ind w:firstLine="560"/>
              <w:jc w:val="both"/>
            </w:pPr>
            <w:r>
              <w:rPr>
                <w:rFonts w:ascii="仿宋_GB2312" w:hAnsi="仿宋_GB2312" w:cs="仿宋_GB2312" w:eastAsia="仿宋_GB2312"/>
                <w:sz w:val="28"/>
              </w:rPr>
              <w:t>6.室外落水井和污水观察井深度未注明，暂按1.8m计算；</w:t>
            </w:r>
          </w:p>
          <w:p>
            <w:pPr>
              <w:pStyle w:val="null3"/>
              <w:spacing w:before="105" w:after="105"/>
              <w:ind w:firstLine="560"/>
              <w:jc w:val="both"/>
            </w:pPr>
            <w:r>
              <w:rPr>
                <w:rFonts w:ascii="仿宋_GB2312" w:hAnsi="仿宋_GB2312" w:cs="仿宋_GB2312" w:eastAsia="仿宋_GB2312"/>
                <w:sz w:val="28"/>
              </w:rPr>
              <w:t>7.附属用房楼面做法未注明，暂按地29做法（取消60厚C15混凝土和水泥砂浆找坡层）计算；</w:t>
            </w:r>
          </w:p>
          <w:p>
            <w:pPr>
              <w:pStyle w:val="null3"/>
              <w:spacing w:before="105" w:after="105"/>
              <w:ind w:firstLine="560"/>
              <w:jc w:val="both"/>
            </w:pPr>
            <w:r>
              <w:rPr>
                <w:rFonts w:ascii="仿宋_GB2312" w:hAnsi="仿宋_GB2312" w:cs="仿宋_GB2312" w:eastAsia="仿宋_GB2312"/>
                <w:sz w:val="28"/>
              </w:rPr>
              <w:t>8.本项目列支暂列金30000.00元；</w:t>
            </w:r>
          </w:p>
          <w:p>
            <w:pPr>
              <w:pStyle w:val="null3"/>
              <w:spacing w:before="105" w:after="105"/>
              <w:ind w:firstLine="560"/>
              <w:jc w:val="both"/>
            </w:pPr>
            <w:r>
              <w:rPr>
                <w:rFonts w:ascii="仿宋_GB2312" w:hAnsi="仿宋_GB2312" w:cs="仿宋_GB2312" w:eastAsia="仿宋_GB2312"/>
                <w:sz w:val="28"/>
              </w:rPr>
              <w:t>9.墙体开洞时对局部楼板进行临时支撑，支撑做法未注明，此项</w:t>
            </w:r>
            <w:r>
              <w:rPr>
                <w:rFonts w:ascii="仿宋_GB2312" w:hAnsi="仿宋_GB2312" w:cs="仿宋_GB2312" w:eastAsia="仿宋_GB2312"/>
                <w:sz w:val="28"/>
              </w:rPr>
              <w:t>专业措施支撑费自行填报。</w:t>
            </w:r>
          </w:p>
          <w:p>
            <w:pPr>
              <w:pStyle w:val="null3"/>
              <w:spacing w:before="105" w:after="105"/>
              <w:ind w:firstLine="560"/>
              <w:jc w:val="both"/>
            </w:pPr>
            <w:r>
              <w:rPr>
                <w:rFonts w:ascii="仿宋_GB2312" w:hAnsi="仿宋_GB2312" w:cs="仿宋_GB2312" w:eastAsia="仿宋_GB2312"/>
                <w:sz w:val="28"/>
              </w:rPr>
              <w:t>10.质量目标：合格</w:t>
            </w:r>
          </w:p>
          <w:p>
            <w:pPr>
              <w:pStyle w:val="null3"/>
              <w:spacing w:before="105" w:after="105"/>
              <w:ind w:firstLine="560"/>
              <w:jc w:val="both"/>
            </w:pPr>
            <w:r>
              <w:rPr>
                <w:rFonts w:ascii="仿宋_GB2312" w:hAnsi="仿宋_GB2312" w:cs="仿宋_GB2312" w:eastAsia="仿宋_GB2312"/>
                <w:sz w:val="28"/>
              </w:rPr>
              <w:t>11.工期：90日历天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1.供应商须对照本项目《评审办法》逐项响应全部技术及商务指标，附对应支撑材料并按评审顺序标注，确保无遗漏，符合要求，便核查。 2.工程量清单全部内容，保修期1年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中标供应商在中标结果公示结束后5个工作日内向代理机构提供纸质版响应文件,响应文件为正本一份，副本两份，电子版文件U盘一份(投标文件内容须与电子交易平台上传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供应商具有行政主管部门核发的建筑工程施工总承包三级（含三级）及以上资质，且具有有效的安全生产许可证，供应商资质信息应在“陕西省住房和城乡建设厅网（http://js.shaanxi.gov.cn/ ）”或“陕西省建筑市场监管与诚信信息发布平台”或“全国建筑市场监管公共服务平台”可查询；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供应商拟派项目负责人要求</w:t>
            </w:r>
          </w:p>
        </w:tc>
        <w:tc>
          <w:tcPr>
            <w:tcW w:type="dxa" w:w="3322"/>
          </w:tcPr>
          <w:p>
            <w:pPr>
              <w:pStyle w:val="null3"/>
            </w:pPr>
            <w:r>
              <w:rPr>
                <w:rFonts w:ascii="仿宋_GB2312" w:hAnsi="仿宋_GB2312" w:cs="仿宋_GB2312" w:eastAsia="仿宋_GB2312"/>
              </w:rPr>
              <w:t>拟派项目经理须具备建筑工程专业二级（含二级）以上注册建造师资格和安全生产考核合格B证，且无在建项目（需提供无在建承诺书），项目负责人信息应在“陕西省住房和城乡建设厅网（http://js.shaanxi.gov.cn/ ）”或“陕西省建筑市场监管与诚信信息发布平台”或“全国建筑市场监管公共服务平台”可查询；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供应商应提交的相关资格证明材料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磋商保证金</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一、评审内容:供应商针对本项目编制完善的施工部署，结合项目附属用房、室外硬化及绿化、水电安装等建设内容，内容包含: ①施工目标;②施工准备;③施工平面布置与安排。 二、评审标准 :1、完整性:方案必须全面，对评审内容中的各项要求有详细描述，涵盖本项目所有建设内容;2、可实施性:切合本项目实际情况，提出步骤清晰、合理的方案;3、针对性:方案能够紧扣项目附属用房等核心工程特点，内容科学合理。 三、赋分标准(满分6分):①施工目标:每完全满足一个评审标准得 0.5分，满分 1.5分; ②施工准备:每完全满足一个评审标准得 0.5 分，满分1.5分;③施工平面布置与安排:每完全满足一个评审标准得1分，满分3分;④未提供者不得分。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w:t>
            </w:r>
          </w:p>
        </w:tc>
      </w:tr>
      <w:tr>
        <w:tc>
          <w:tcPr>
            <w:tcW w:type="dxa" w:w="831"/>
            <w:vMerge/>
          </w:tcPr>
          <w:p/>
        </w:tc>
        <w:tc>
          <w:tcPr>
            <w:tcW w:type="dxa" w:w="1661"/>
          </w:tcPr>
          <w:p>
            <w:pPr>
              <w:pStyle w:val="null3"/>
            </w:pPr>
            <w:r>
              <w:rPr>
                <w:rFonts w:ascii="仿宋_GB2312" w:hAnsi="仿宋_GB2312" w:cs="仿宋_GB2312" w:eastAsia="仿宋_GB2312"/>
              </w:rPr>
              <w:t>项目拟派人员安排</w:t>
            </w:r>
          </w:p>
        </w:tc>
        <w:tc>
          <w:tcPr>
            <w:tcW w:type="dxa" w:w="2492"/>
          </w:tcPr>
          <w:p>
            <w:pPr>
              <w:pStyle w:val="null3"/>
            </w:pPr>
            <w:r>
              <w:rPr>
                <w:rFonts w:ascii="仿宋_GB2312" w:hAnsi="仿宋_GB2312" w:cs="仿宋_GB2312" w:eastAsia="仿宋_GB2312"/>
              </w:rPr>
              <w:t>一、评审内容：拟派技术负责人1名及其他人员。其他人员包括但不限于施工员、质量员、材料员、安全员、资料员。 二、评审标准:（1）技术负责人：具备相关专业中级及以上技术职称，需提供职称证书复印件（加盖公章）；（2）其他人员：施工员、质量员、材料员、安全员、资料员5个专业，每个岗位至少配备1名人员，所有人员需具备对应岗位资格证书，并提供资格证书复印件（复印件需清晰可辨，加盖供应商公章）。 三、客观赋分标准:（1）技术负责人：提供相关专业有效的职称证书，得1分；未提供、证书无效或专业不符的，得0分；（2）其他人员：施工员、质量员、材料员、安全员、资料员5个专业，每满足1个专业配备要求（提供对应资格证书）得0.9分，满分4.5分；同一人员满足多个专业条件的，仅按1个专业计分，不重复赋分；未配备或人员不合格（未提供对应资格证书复印件）的，该专业不计分；所有岗位均未达标得0分。</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项目拟派人员安排</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 ①维修措施;②保修责任;③保修承诺。 二、评审标准 :1、完整性:内容必须全面，对评审内容中的各项要求有详细描述;2、落实性:切合项目具体情况，针对不同分项工程提出责任明确、要求具体的方案;3、针对性:内容能够紧扣项目实际情况，内容科学合理。 三、赋分标准(满分 4.5 分):①维修措施:每完全满足一个评审标准得 0.5分，满分 1.5分;②保修责任:每完全满足一个评审标准得0.5分，满分1.5分;③保修承诺:每完全满足一个评审标准得 0.5分，满分 1.5 分;④未提供者不得分。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一、评审内容:供应商针对本项目编制完善的施工进度计划，结合本项目各分项工程施工逻辑，内容包含:①施工进度计划横道图; ②进度计划保证措施;③工期保证措施。 二、评审标准 :1、完整性:方案必须全面，对评审内容中的各项要求有详细描述;2、可实施性:切合本项目实际情况，提出步骤清晰、合理的方案;3、针对性:方案能够紧扣项目各分项工程施工特点，内容科学合理。 三、赋分标准(满分9.0分):①施工进度计划横道图:每完全满足一个评审标准得1分，满分3分;②进度计划保证措施:每完全满足一个评审标准得1分,满分3分;③工期保证措施:每完全满足一个评审标准得1分，满分3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一、评审内容:供应商针对本项目编制完善的质量保证措施，结合本项目工程质量要求，内容包含:①施工质量的检验制度;②确保质量的技术组织措施;③施工质量控制措施。 二、评审标准:1、完整性:方案必须全面，对评审内容中的各项要求有详细描述;2、可实施性:切合本项目实际情况，提出步骤清晰、合理的方案;3、针对性:方案能够紧扣项目各分项工程质量要求，内容科学合理。 三、赋分标准(满分9分):①施工质量检验制度:每完全满足一个评审标准得1分，满分3分;②确保质量的技术组织措施:每完全满足一个评审标准得1分，满分3分;③施工质量控制措施:每完全满足一个评审标准得1分，满分3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一、评审内容:供应商针对本项目编制完善的资源配置计划，结合本项目各分项工程施工需求，内容包含:①劳动力资源配置计划;②施工机械设备投入计划;③主要施工材料供应计划。 二、评审标准:1、完整性:方案必须全面，对评审内容中的各项要求有详细描述;2、可实施性:切合本项目实际情况，提出步骤清晰、合理的方案;3、针对性:方案能够紧扣项目各分项工程施工需求，内容科学合理。 三、赋分标准(满分 7.5 分):①劳动力资源配置计划:每完全满足一个评审标准得1分，满分3分;②施工机械设备投入计划:每完全满足一个评审标准得1分，满分3分;③主要施工材料供应计划:每完全满足一个评审标准得 0.5分，满分 1.5 分;④未提供者不得分。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资源配置计划</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一、评审内容:供应商针对本项目编制完整的安全施工措施，结合本项目施工安全风险点，内容包含:①安全生产管理制度; ②安全施工措施;③安全应急预案;④安全生产教育。 二、评审标准:1、完整性:方案必须全面，对评审内容中的各项要求有详细描述;2、可实施性:切合本项目实际情况，提出步骤清晰、合理的方案;3、针对性:方案能够紧扣项目安全风险特点，内容科学合理。 三、赋分标准(满分7.5分):①安全生产管理制度:每完全满足一个评审标准得1分，满分3分; ②安全施工措施:每完全满足一个评审标准得0.5分，满分1.5分;③安全应急预案:每完全满足一个评审标准得0.5分，满分1.5分;④安全生产教育:每完全满足一个评审标准得 0.5分，满分 1.5分;⑤未提供者不得分。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安全施工措施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一、评审内容:供应商针对本项目编制完整的文明施工措施，结合略阳县徐家坪镇建设场地周边环境，内容包含: ①文明施工管理目标及技术措施;②文明施工现场管理:材料管理、防扰民措施。 二、评审标准:1、完整性:方案必须全面，对评审内容中的各项要求有详细描述;2、可实施性:切合本项目实际情况,提出步骤清晰、合理的方案;3、针对性:方案能够紧扣项目施工特点及当地环境要求，内容科学合理。 三、赋分标准(满分6分):①文明施工管理目标及技术措施:每完全满足一个评审标准得1分，满分3分;②文明施工现场管理:每完全满足一个评审标准得1分，满分3分;③未提供者不得分。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近 3 年（2023年1月 - 至今）每提供1个有效建筑工程类似业绩得2分，最高得4分；评审依据：①中标（成交）通知书；②施工合同；业绩时间以施工合同签订时间为准，未提供有效业绩不得分（注：社会投资项目提供施工合同）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业绩要求</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 针对项目可能面临的恶劣天气、自然灾害、特殊情况，评审应急方案针对性、响应及时性，重点覆盖相关应急场景。 二、评分标准: ①（1-3 分）：提及 “制定应急方案”，但未区分突发事件类型，仅笼统说明 “启动应急响应”，无具体处置流程、应急物资清单，未结合本项目施工场景； ②（3.1-5 分）：按突发事件类型制定专项方案： ① 恶劣天气：暴雨时停止高空作业及室外施工，对附属用房施工半成品、绿化苗木进行防护，启用临时排水泵； ② 自然灾害：洪涝、暴雨等灾害时，组织施工设备、材料转移至地势高处，提前与当地应急部门、相关部门建立联动机制； ③ 特殊情况：政府重大活动或节假日期间，暂停临近公共区域的施工，安排人员值守维护现场秩序，重点做好水电管线、施工区域的安全防护； 同时明确应急响应流程、应急物资清单及责任人联系方式。 缺项处理：未提供突发事件应急措施的，得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针对突发事件应急保证措施</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供应商针对本项目编制完善的分部分项工程施工方案，结合本项目核心工程特点，内容包含： ①工程重难点及解决措施； ②分部分项工程施工方法；③施工质量通病防治措施。 二、评审标准： 1、完整性：方案必须全面，对评审内容中的各项要求有详细描述； 2、可实施性：切合本项目实际情况，提出步骤清晰、合理的方案； 3、针对性：方案能够紧扣项目分部分项工程特点，内容科学合理。 三、赋分标准（满分6分）： ①工程重难点及解决措施：每完全满足一个评审标准得1分，满分3分； ②分部分项工程施工方法：每完全满足一个评审标准得0.5分，满分1.5 分； ③施工质量通病防治措施：每完全满足一个评审标准得0.5分，满分1.5分；④未提供者不得分。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分部分项工程施工方案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 1、上限为采购预算价，即报价大于上限价视为无效标； 2、以满足本次磋商文件要求的最低报价为评审基准价，其价格为满分； 3、不享有政策优惠条件的供应商投标报价得分=（评审基准价/报价）×30。 4.本项目为专门面向中小企业项目，专门面向中小企业采购的项目，不再执行价格评审优惠的扶持政策。 5.为保证项目质量，投标人报价若低于招标采购预算的80%，须对报价合理性及成本构成做书面说明（如报价成本分析），如未能提供有效证明，将被视为低于成本报价而报价无效。（投标报价评审只评投标总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详见附件：总体施工方案</w:t>
      </w:r>
    </w:p>
    <w:p>
      <w:pPr>
        <w:pStyle w:val="null3"/>
        <w:ind w:firstLine="960"/>
      </w:pPr>
      <w:r>
        <w:rPr>
          <w:rFonts w:ascii="仿宋_GB2312" w:hAnsi="仿宋_GB2312" w:cs="仿宋_GB2312" w:eastAsia="仿宋_GB2312"/>
        </w:rPr>
        <w:t>详见附件：项目拟派人员安排</w:t>
      </w:r>
    </w:p>
    <w:p>
      <w:pPr>
        <w:pStyle w:val="null3"/>
        <w:ind w:firstLine="960"/>
      </w:pPr>
      <w:r>
        <w:rPr>
          <w:rFonts w:ascii="仿宋_GB2312" w:hAnsi="仿宋_GB2312" w:cs="仿宋_GB2312" w:eastAsia="仿宋_GB2312"/>
        </w:rPr>
        <w:t>详见附件：保修方案</w:t>
      </w:r>
    </w:p>
    <w:p>
      <w:pPr>
        <w:pStyle w:val="null3"/>
        <w:ind w:firstLine="960"/>
      </w:pPr>
      <w:r>
        <w:rPr>
          <w:rFonts w:ascii="仿宋_GB2312" w:hAnsi="仿宋_GB2312" w:cs="仿宋_GB2312" w:eastAsia="仿宋_GB2312"/>
        </w:rPr>
        <w:t>详见附件：施工进度计划</w:t>
      </w:r>
    </w:p>
    <w:p>
      <w:pPr>
        <w:pStyle w:val="null3"/>
        <w:ind w:firstLine="960"/>
      </w:pPr>
      <w:r>
        <w:rPr>
          <w:rFonts w:ascii="仿宋_GB2312" w:hAnsi="仿宋_GB2312" w:cs="仿宋_GB2312" w:eastAsia="仿宋_GB2312"/>
        </w:rPr>
        <w:t>详见附件：质量保证措施</w:t>
      </w:r>
    </w:p>
    <w:p>
      <w:pPr>
        <w:pStyle w:val="null3"/>
        <w:ind w:firstLine="960"/>
      </w:pPr>
      <w:r>
        <w:rPr>
          <w:rFonts w:ascii="仿宋_GB2312" w:hAnsi="仿宋_GB2312" w:cs="仿宋_GB2312" w:eastAsia="仿宋_GB2312"/>
        </w:rPr>
        <w:t>详见附件：资源配置计划</w:t>
      </w:r>
    </w:p>
    <w:p>
      <w:pPr>
        <w:pStyle w:val="null3"/>
        <w:ind w:firstLine="960"/>
      </w:pPr>
      <w:r>
        <w:rPr>
          <w:rFonts w:ascii="仿宋_GB2312" w:hAnsi="仿宋_GB2312" w:cs="仿宋_GB2312" w:eastAsia="仿宋_GB2312"/>
        </w:rPr>
        <w:t>详见附件：安全施工措施</w:t>
      </w:r>
    </w:p>
    <w:p>
      <w:pPr>
        <w:pStyle w:val="null3"/>
        <w:ind w:firstLine="960"/>
      </w:pPr>
      <w:r>
        <w:rPr>
          <w:rFonts w:ascii="仿宋_GB2312" w:hAnsi="仿宋_GB2312" w:cs="仿宋_GB2312" w:eastAsia="仿宋_GB2312"/>
        </w:rPr>
        <w:t>详见附件：文明施工措施</w:t>
      </w:r>
    </w:p>
    <w:p>
      <w:pPr>
        <w:pStyle w:val="null3"/>
        <w:ind w:firstLine="960"/>
      </w:pPr>
      <w:r>
        <w:rPr>
          <w:rFonts w:ascii="仿宋_GB2312" w:hAnsi="仿宋_GB2312" w:cs="仿宋_GB2312" w:eastAsia="仿宋_GB2312"/>
        </w:rPr>
        <w:t>详见附件：针对突发事件应急保证措施</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详见附件：业绩要求</w:t>
      </w:r>
    </w:p>
    <w:p>
      <w:pPr>
        <w:pStyle w:val="null3"/>
        <w:ind w:firstLine="960"/>
      </w:pPr>
      <w:r>
        <w:rPr>
          <w:rFonts w:ascii="仿宋_GB2312" w:hAnsi="仿宋_GB2312" w:cs="仿宋_GB2312" w:eastAsia="仿宋_GB2312"/>
        </w:rPr>
        <w:t>详见附件：分部分项工程施工方案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